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EBB7B9" w14:textId="77777777" w:rsidR="00907E93" w:rsidRPr="008E1CAD" w:rsidRDefault="00000000">
      <w:pPr>
        <w:spacing w:before="480" w:after="120"/>
        <w:jc w:val="center"/>
        <w:rPr>
          <w:rFonts w:ascii="Times New Roman" w:hAnsi="Times New Roman" w:cs="Times New Roman"/>
        </w:rPr>
      </w:pPr>
      <w:r w:rsidRPr="008E1CAD">
        <w:rPr>
          <w:rFonts w:ascii="Times New Roman" w:eastAsia="Times New Roman" w:hAnsi="Times New Roman" w:cs="Times New Roman"/>
          <w:b/>
          <w:sz w:val="32"/>
        </w:rPr>
        <w:t>Supplementary Appendix</w:t>
      </w:r>
    </w:p>
    <w:p w14:paraId="26D96559" w14:textId="4A2075FD" w:rsidR="00907E93" w:rsidRPr="008E1CAD" w:rsidRDefault="00000000" w:rsidP="00DB2FAD">
      <w:pPr>
        <w:pStyle w:val="1"/>
      </w:pPr>
      <w:r w:rsidRPr="008E1CAD">
        <w:t xml:space="preserve">Section 1: </w:t>
      </w:r>
      <w:r w:rsidR="00090FCB" w:rsidRPr="008E1CAD">
        <w:t>Systematic literature review (SLR) methodology and results</w:t>
      </w:r>
    </w:p>
    <w:p w14:paraId="7D11C2E6" w14:textId="79F2DD7E" w:rsidR="00907E93" w:rsidRPr="008E1CAD" w:rsidRDefault="00000000" w:rsidP="00DB2FAD">
      <w:pPr>
        <w:pStyle w:val="21"/>
        <w:rPr>
          <w:rFonts w:cs="Times New Roman"/>
        </w:rPr>
      </w:pPr>
      <w:r w:rsidRPr="008E1CAD">
        <w:rPr>
          <w:rFonts w:cs="Times New Roman"/>
        </w:rPr>
        <w:t xml:space="preserve">1.1 SLR </w:t>
      </w:r>
      <w:r w:rsidR="00586316" w:rsidRPr="008E1CAD">
        <w:rPr>
          <w:rFonts w:cs="Times New Roman"/>
        </w:rPr>
        <w:t>objective and database search strategy</w:t>
      </w:r>
    </w:p>
    <w:p w14:paraId="2D6EDAE8" w14:textId="0C413A8F"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A</w:t>
      </w:r>
      <w:r w:rsidR="00171205" w:rsidRPr="008E1CAD">
        <w:rPr>
          <w:rFonts w:ascii="Times New Roman" w:eastAsia="Times New Roman" w:hAnsi="Times New Roman" w:cs="Times New Roman"/>
        </w:rPr>
        <w:t>n</w:t>
      </w:r>
      <w:r w:rsidRPr="008E1CAD">
        <w:rPr>
          <w:rFonts w:ascii="Times New Roman" w:eastAsia="Times New Roman" w:hAnsi="Times New Roman" w:cs="Times New Roman"/>
        </w:rPr>
        <w:t xml:space="preserve"> SLR was performed to estimate key parameters for the cost-effectiveness analysis (CEA) model. These parameters include</w:t>
      </w:r>
      <w:r w:rsidR="00171205" w:rsidRPr="008E1CAD">
        <w:rPr>
          <w:rFonts w:ascii="Times New Roman" w:eastAsia="Times New Roman" w:hAnsi="Times New Roman" w:cs="Times New Roman"/>
        </w:rPr>
        <w:t>d</w:t>
      </w:r>
      <w:r w:rsidRPr="008E1CAD">
        <w:rPr>
          <w:rFonts w:ascii="Times New Roman" w:eastAsia="Times New Roman" w:hAnsi="Times New Roman" w:cs="Times New Roman"/>
        </w:rPr>
        <w:t xml:space="preserve"> baseline cohort demographics, treatment patterns, treatment compliance (discontinuation </w:t>
      </w:r>
      <w:r w:rsidR="0016552D" w:rsidRPr="008E1CAD">
        <w:rPr>
          <w:rFonts w:ascii="Times New Roman" w:eastAsia="Times New Roman" w:hAnsi="Times New Roman" w:cs="Times New Roman"/>
        </w:rPr>
        <w:t>risk</w:t>
      </w:r>
      <w:r w:rsidRPr="008E1CAD">
        <w:rPr>
          <w:rFonts w:ascii="Times New Roman" w:eastAsia="Times New Roman" w:hAnsi="Times New Roman" w:cs="Times New Roman"/>
        </w:rPr>
        <w:t>s), clinical efficacy (overall response rate [ORR], progression-free survival [PFS], and overall survival [OS]), safety profiles</w:t>
      </w:r>
      <w:r w:rsidR="00171205" w:rsidRPr="008E1CAD">
        <w:rPr>
          <w:rFonts w:ascii="Times New Roman" w:eastAsia="Times New Roman" w:hAnsi="Times New Roman" w:cs="Times New Roman"/>
        </w:rPr>
        <w:t>, including serious adverse events (SAEs)</w:t>
      </w:r>
      <w:r w:rsidRPr="008E1CAD">
        <w:rPr>
          <w:rFonts w:ascii="Times New Roman" w:eastAsia="Times New Roman" w:hAnsi="Times New Roman" w:cs="Times New Roman"/>
        </w:rPr>
        <w:t>, health-related quality of life (HRQoL) utilities, and direct medical costs.</w:t>
      </w:r>
    </w:p>
    <w:p w14:paraId="10D0B8BF" w14:textId="15CAD276"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 xml:space="preserve">Comprehensive searches were </w:t>
      </w:r>
      <w:r w:rsidR="00171205" w:rsidRPr="008E1CAD">
        <w:rPr>
          <w:rFonts w:ascii="Times New Roman" w:eastAsia="Times New Roman" w:hAnsi="Times New Roman" w:cs="Times New Roman"/>
        </w:rPr>
        <w:t>conducted</w:t>
      </w:r>
      <w:r w:rsidRPr="008E1CAD">
        <w:rPr>
          <w:rFonts w:ascii="Times New Roman" w:eastAsia="Times New Roman" w:hAnsi="Times New Roman" w:cs="Times New Roman"/>
        </w:rPr>
        <w:t xml:space="preserve"> across major international electronic databases (MEDLINE, Embase, </w:t>
      </w:r>
      <w:r w:rsidR="00967CAC">
        <w:rPr>
          <w:rFonts w:ascii="Times New Roman" w:eastAsia="Times New Roman" w:hAnsi="Times New Roman" w:cs="Times New Roman" w:hint="eastAsia"/>
        </w:rPr>
        <w:t xml:space="preserve">and </w:t>
      </w:r>
      <w:r w:rsidRPr="008E1CAD">
        <w:rPr>
          <w:rFonts w:ascii="Times New Roman" w:eastAsia="Times New Roman" w:hAnsi="Times New Roman" w:cs="Times New Roman"/>
        </w:rPr>
        <w:t xml:space="preserve">Web of Science) and Chinese databases (China National Knowledge Infrastructure [CNKI], Wanfang, and VIP). </w:t>
      </w:r>
      <w:r w:rsidR="00171205" w:rsidRPr="008E1CAD">
        <w:rPr>
          <w:rFonts w:ascii="Times New Roman" w:eastAsia="Times New Roman" w:hAnsi="Times New Roman" w:cs="Times New Roman"/>
        </w:rPr>
        <w:t>The initial search period was defined as</w:t>
      </w:r>
      <w:r w:rsidRPr="008E1CAD">
        <w:rPr>
          <w:rFonts w:ascii="Times New Roman" w:eastAsia="Times New Roman" w:hAnsi="Times New Roman" w:cs="Times New Roman"/>
        </w:rPr>
        <w:t xml:space="preserve"> January 1, 2018 (</w:t>
      </w:r>
      <w:r w:rsidR="00171205" w:rsidRPr="008E1CAD">
        <w:rPr>
          <w:rFonts w:ascii="Times New Roman" w:eastAsia="Times New Roman" w:hAnsi="Times New Roman" w:cs="Times New Roman"/>
        </w:rPr>
        <w:t>the year ixazomib was approved in China</w:t>
      </w:r>
      <w:r w:rsidRPr="008E1CAD">
        <w:rPr>
          <w:rFonts w:ascii="Times New Roman" w:eastAsia="Times New Roman" w:hAnsi="Times New Roman" w:cs="Times New Roman"/>
        </w:rPr>
        <w:t>) to March 22, 2024.</w:t>
      </w:r>
    </w:p>
    <w:p w14:paraId="324C2F49" w14:textId="77777777"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To align data inputs with the Chinese healthcare setting, geographical restrictions were applied as follows:</w:t>
      </w:r>
    </w:p>
    <w:p w14:paraId="2FBECA54" w14:textId="04B4B504" w:rsidR="00907E93" w:rsidRPr="008E1CAD" w:rsidRDefault="00586316">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b/>
        </w:rPr>
        <w:t xml:space="preserve">Model cohort demographics, treatment patterns, and direct medical costs: </w:t>
      </w:r>
      <w:r w:rsidRPr="008E1CAD">
        <w:rPr>
          <w:rFonts w:ascii="Times New Roman" w:eastAsia="Times New Roman" w:hAnsi="Times New Roman" w:cs="Times New Roman"/>
        </w:rPr>
        <w:t>Restricted strictly to studies conducted in mainland China.</w:t>
      </w:r>
    </w:p>
    <w:p w14:paraId="4564C4F1" w14:textId="46D69255"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b/>
        </w:rPr>
        <w:t xml:space="preserve">Clinical </w:t>
      </w:r>
      <w:r w:rsidR="00586316" w:rsidRPr="008E1CAD">
        <w:rPr>
          <w:rFonts w:ascii="Times New Roman" w:eastAsia="Times New Roman" w:hAnsi="Times New Roman" w:cs="Times New Roman"/>
          <w:b/>
        </w:rPr>
        <w:t>e</w:t>
      </w:r>
      <w:r w:rsidRPr="008E1CAD">
        <w:rPr>
          <w:rFonts w:ascii="Times New Roman" w:eastAsia="Times New Roman" w:hAnsi="Times New Roman" w:cs="Times New Roman"/>
          <w:b/>
        </w:rPr>
        <w:t xml:space="preserve">fficacy, </w:t>
      </w:r>
      <w:r w:rsidR="00586316" w:rsidRPr="008E1CAD">
        <w:rPr>
          <w:rFonts w:ascii="Times New Roman" w:eastAsia="Times New Roman" w:hAnsi="Times New Roman" w:cs="Times New Roman"/>
          <w:b/>
        </w:rPr>
        <w:t>s</w:t>
      </w:r>
      <w:r w:rsidRPr="008E1CAD">
        <w:rPr>
          <w:rFonts w:ascii="Times New Roman" w:eastAsia="Times New Roman" w:hAnsi="Times New Roman" w:cs="Times New Roman"/>
          <w:b/>
        </w:rPr>
        <w:t xml:space="preserve">afety, and HRQoL </w:t>
      </w:r>
      <w:r w:rsidR="00586316" w:rsidRPr="008E1CAD">
        <w:rPr>
          <w:rFonts w:ascii="Times New Roman" w:eastAsia="Times New Roman" w:hAnsi="Times New Roman" w:cs="Times New Roman"/>
          <w:b/>
        </w:rPr>
        <w:t>u</w:t>
      </w:r>
      <w:r w:rsidRPr="008E1CAD">
        <w:rPr>
          <w:rFonts w:ascii="Times New Roman" w:eastAsia="Times New Roman" w:hAnsi="Times New Roman" w:cs="Times New Roman"/>
          <w:b/>
        </w:rPr>
        <w:t xml:space="preserve">tilities for </w:t>
      </w:r>
      <w:r w:rsidR="00586316" w:rsidRPr="008E1CAD">
        <w:rPr>
          <w:rFonts w:ascii="Times New Roman" w:eastAsia="Times New Roman" w:hAnsi="Times New Roman" w:cs="Times New Roman"/>
          <w:b/>
        </w:rPr>
        <w:t>s</w:t>
      </w:r>
      <w:r w:rsidRPr="008E1CAD">
        <w:rPr>
          <w:rFonts w:ascii="Times New Roman" w:eastAsia="Times New Roman" w:hAnsi="Times New Roman" w:cs="Times New Roman"/>
          <w:b/>
        </w:rPr>
        <w:t xml:space="preserve">ubsequent </w:t>
      </w:r>
      <w:r w:rsidR="00586316" w:rsidRPr="008E1CAD">
        <w:rPr>
          <w:rFonts w:ascii="Times New Roman" w:eastAsia="Times New Roman" w:hAnsi="Times New Roman" w:cs="Times New Roman"/>
          <w:b/>
        </w:rPr>
        <w:t>l</w:t>
      </w:r>
      <w:r w:rsidRPr="008E1CAD">
        <w:rPr>
          <w:rFonts w:ascii="Times New Roman" w:eastAsia="Times New Roman" w:hAnsi="Times New Roman" w:cs="Times New Roman"/>
          <w:b/>
        </w:rPr>
        <w:t xml:space="preserve">ines: </w:t>
      </w:r>
      <w:r w:rsidR="00171205" w:rsidRPr="008E1CAD">
        <w:rPr>
          <w:rFonts w:ascii="Times New Roman" w:eastAsia="Times New Roman" w:hAnsi="Times New Roman" w:cs="Times New Roman"/>
        </w:rPr>
        <w:t>Restricted to studies conducted in East Asia (China, Japan, and South Korea) to improve clinical comparability and relevance to the Chinese setting.</w:t>
      </w:r>
    </w:p>
    <w:p w14:paraId="45E435E1" w14:textId="6A6737CF" w:rsidR="00907E93" w:rsidRDefault="00000000">
      <w:pPr>
        <w:spacing w:before="40" w:after="60"/>
        <w:ind w:left="720" w:hanging="357"/>
        <w:rPr>
          <w:rFonts w:ascii="Times New Roman" w:eastAsia="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b/>
        </w:rPr>
        <w:t xml:space="preserve">Supplementary </w:t>
      </w:r>
      <w:r w:rsidR="00586316" w:rsidRPr="008E1CAD">
        <w:rPr>
          <w:rFonts w:ascii="Times New Roman" w:eastAsia="Times New Roman" w:hAnsi="Times New Roman" w:cs="Times New Roman"/>
          <w:b/>
        </w:rPr>
        <w:t>t</w:t>
      </w:r>
      <w:r w:rsidRPr="008E1CAD">
        <w:rPr>
          <w:rFonts w:ascii="Times New Roman" w:eastAsia="Times New Roman" w:hAnsi="Times New Roman" w:cs="Times New Roman"/>
          <w:b/>
        </w:rPr>
        <w:t xml:space="preserve">argeted </w:t>
      </w:r>
      <w:r w:rsidR="00586316" w:rsidRPr="008E1CAD">
        <w:rPr>
          <w:rFonts w:ascii="Times New Roman" w:eastAsia="Times New Roman" w:hAnsi="Times New Roman" w:cs="Times New Roman"/>
          <w:b/>
        </w:rPr>
        <w:t>s</w:t>
      </w:r>
      <w:r w:rsidRPr="008E1CAD">
        <w:rPr>
          <w:rFonts w:ascii="Times New Roman" w:eastAsia="Times New Roman" w:hAnsi="Times New Roman" w:cs="Times New Roman"/>
          <w:b/>
        </w:rPr>
        <w:t xml:space="preserve">earch: </w:t>
      </w:r>
      <w:r w:rsidRPr="008E1CAD">
        <w:rPr>
          <w:rFonts w:ascii="Times New Roman" w:eastAsia="Times New Roman" w:hAnsi="Times New Roman" w:cs="Times New Roman"/>
        </w:rPr>
        <w:t xml:space="preserve">Because real-world evidence (RWE) </w:t>
      </w:r>
      <w:r w:rsidR="00171205" w:rsidRPr="008E1CAD">
        <w:rPr>
          <w:rFonts w:ascii="Times New Roman" w:eastAsia="Times New Roman" w:hAnsi="Times New Roman" w:cs="Times New Roman"/>
        </w:rPr>
        <w:t>on long-term treatment persistence with the</w:t>
      </w:r>
      <w:r w:rsidRPr="008E1CAD">
        <w:rPr>
          <w:rFonts w:ascii="Times New Roman" w:eastAsia="Times New Roman" w:hAnsi="Times New Roman" w:cs="Times New Roman"/>
        </w:rPr>
        <w:t xml:space="preserve"> ixazomib-lenalidomide-dexamethasone (IRd) regimen and front-line data for the daratumumab-lenalidomide-dexamethasone (DRd) regimen in Asian populations was sparse, a targeted supplementary search was conducted without geographic or publication date constraints </w:t>
      </w:r>
      <w:r w:rsidR="00171205" w:rsidRPr="008E1CAD">
        <w:rPr>
          <w:rFonts w:ascii="Times New Roman" w:eastAsia="Times New Roman" w:hAnsi="Times New Roman" w:cs="Times New Roman"/>
        </w:rPr>
        <w:t>to inform missing model inputs</w:t>
      </w:r>
      <w:r w:rsidRPr="008E1CAD">
        <w:rPr>
          <w:rFonts w:ascii="Times New Roman" w:eastAsia="Times New Roman" w:hAnsi="Times New Roman" w:cs="Times New Roman"/>
        </w:rPr>
        <w:t>.</w:t>
      </w:r>
    </w:p>
    <w:p w14:paraId="46AD6B1F" w14:textId="77777777" w:rsidR="00B768A1" w:rsidRDefault="00B768A1" w:rsidP="00B768A1">
      <w:pPr>
        <w:spacing w:before="40" w:after="60"/>
        <w:rPr>
          <w:rFonts w:ascii="Times New Roman" w:eastAsia="Times New Roman" w:hAnsi="Times New Roman" w:cs="Times New Roman"/>
        </w:rPr>
      </w:pPr>
    </w:p>
    <w:p w14:paraId="3E50F883" w14:textId="77777777" w:rsidR="00B768A1" w:rsidRDefault="00B768A1">
      <w:pPr>
        <w:spacing w:after="200" w:line="276" w:lineRule="auto"/>
        <w:rPr>
          <w:rFonts w:ascii="Times New Roman" w:hAnsi="Times New Roman" w:cs="Times New Roman"/>
          <w:b/>
          <w:i/>
          <w:iCs/>
          <w:sz w:val="18"/>
          <w:szCs w:val="18"/>
        </w:rPr>
      </w:pPr>
      <w:r>
        <w:rPr>
          <w:rFonts w:ascii="Times New Roman" w:hAnsi="Times New Roman" w:cs="Times New Roman"/>
          <w:b/>
          <w:i/>
          <w:iCs/>
          <w:sz w:val="18"/>
          <w:szCs w:val="18"/>
        </w:rPr>
        <w:br w:type="page"/>
      </w:r>
    </w:p>
    <w:p w14:paraId="6C5201D0" w14:textId="65671301" w:rsidR="00B768A1" w:rsidRPr="008E1CAD" w:rsidRDefault="00B768A1" w:rsidP="00B768A1">
      <w:pPr>
        <w:rPr>
          <w:rFonts w:ascii="Times New Roman" w:hAnsi="Times New Roman" w:cs="Times New Roman"/>
          <w:i/>
          <w:iCs/>
          <w:sz w:val="18"/>
          <w:szCs w:val="18"/>
        </w:rPr>
      </w:pPr>
      <w:r w:rsidRPr="008E1CAD">
        <w:rPr>
          <w:rFonts w:ascii="Times New Roman" w:hAnsi="Times New Roman" w:cs="Times New Roman"/>
          <w:b/>
          <w:i/>
          <w:iCs/>
          <w:sz w:val="18"/>
          <w:szCs w:val="18"/>
        </w:rPr>
        <w:lastRenderedPageBreak/>
        <w:t>Table S1.</w:t>
      </w:r>
      <w:r w:rsidRPr="008E1CAD">
        <w:rPr>
          <w:rFonts w:ascii="Times New Roman" w:hAnsi="Times New Roman" w:cs="Times New Roman"/>
          <w:bCs/>
          <w:i/>
          <w:iCs/>
          <w:sz w:val="18"/>
          <w:szCs w:val="18"/>
        </w:rPr>
        <w:t xml:space="preserve"> </w:t>
      </w:r>
      <w:r w:rsidRPr="00B768A1">
        <w:rPr>
          <w:rFonts w:ascii="Times New Roman" w:hAnsi="Times New Roman" w:cs="Times New Roman"/>
          <w:bCs/>
          <w:i/>
          <w:iCs/>
          <w:sz w:val="18"/>
          <w:szCs w:val="18"/>
        </w:rPr>
        <w:t>Summary of databases, search concepts, and representative search terms</w:t>
      </w:r>
    </w:p>
    <w:tbl>
      <w:tblPr>
        <w:tblW w:w="5000" w:type="pct"/>
        <w:tblBorders>
          <w:top w:val="single" w:sz="4" w:space="0" w:color="auto"/>
          <w:bottom w:val="single" w:sz="4" w:space="0" w:color="auto"/>
        </w:tblBorders>
        <w:tblLook w:val="04A0" w:firstRow="1" w:lastRow="0" w:firstColumn="1" w:lastColumn="0" w:noHBand="0" w:noVBand="1"/>
      </w:tblPr>
      <w:tblGrid>
        <w:gridCol w:w="1004"/>
        <w:gridCol w:w="949"/>
        <w:gridCol w:w="782"/>
        <w:gridCol w:w="1090"/>
        <w:gridCol w:w="1703"/>
        <w:gridCol w:w="1210"/>
        <w:gridCol w:w="1562"/>
      </w:tblGrid>
      <w:tr w:rsidR="00B768A1" w:rsidRPr="00B768A1" w14:paraId="2D596178" w14:textId="77777777" w:rsidTr="00AA719D">
        <w:trPr>
          <w:trHeight w:val="206"/>
          <w:tblHeader/>
        </w:trPr>
        <w:tc>
          <w:tcPr>
            <w:tcW w:w="605" w:type="pct"/>
            <w:tcBorders>
              <w:top w:val="single" w:sz="4" w:space="0" w:color="auto"/>
              <w:bottom w:val="single" w:sz="4" w:space="0" w:color="auto"/>
            </w:tcBorders>
            <w:vAlign w:val="center"/>
            <w:hideMark/>
          </w:tcPr>
          <w:p w14:paraId="2F4B7BF9"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Database group</w:t>
            </w:r>
          </w:p>
        </w:tc>
        <w:tc>
          <w:tcPr>
            <w:tcW w:w="572" w:type="pct"/>
            <w:tcBorders>
              <w:top w:val="single" w:sz="4" w:space="0" w:color="auto"/>
              <w:bottom w:val="single" w:sz="4" w:space="0" w:color="auto"/>
            </w:tcBorders>
            <w:vAlign w:val="center"/>
            <w:hideMark/>
          </w:tcPr>
          <w:p w14:paraId="7DDFCA28"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Databases</w:t>
            </w:r>
          </w:p>
        </w:tc>
        <w:tc>
          <w:tcPr>
            <w:tcW w:w="471" w:type="pct"/>
            <w:tcBorders>
              <w:top w:val="single" w:sz="4" w:space="0" w:color="auto"/>
              <w:bottom w:val="single" w:sz="4" w:space="0" w:color="auto"/>
            </w:tcBorders>
            <w:vAlign w:val="center"/>
            <w:hideMark/>
          </w:tcPr>
          <w:p w14:paraId="0D5B6469"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Search date and period</w:t>
            </w:r>
          </w:p>
        </w:tc>
        <w:tc>
          <w:tcPr>
            <w:tcW w:w="657" w:type="pct"/>
            <w:tcBorders>
              <w:top w:val="single" w:sz="4" w:space="0" w:color="auto"/>
              <w:bottom w:val="single" w:sz="4" w:space="0" w:color="auto"/>
            </w:tcBorders>
            <w:vAlign w:val="center"/>
            <w:hideMark/>
          </w:tcPr>
          <w:p w14:paraId="0627B7A3"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Disease and study-design terms</w:t>
            </w:r>
          </w:p>
        </w:tc>
        <w:tc>
          <w:tcPr>
            <w:tcW w:w="1026" w:type="pct"/>
            <w:tcBorders>
              <w:top w:val="single" w:sz="4" w:space="0" w:color="auto"/>
              <w:bottom w:val="single" w:sz="4" w:space="0" w:color="auto"/>
            </w:tcBorders>
            <w:vAlign w:val="center"/>
            <w:hideMark/>
          </w:tcPr>
          <w:p w14:paraId="3CBC9120"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Treatment terms</w:t>
            </w:r>
          </w:p>
        </w:tc>
        <w:tc>
          <w:tcPr>
            <w:tcW w:w="729" w:type="pct"/>
            <w:tcBorders>
              <w:top w:val="single" w:sz="4" w:space="0" w:color="auto"/>
              <w:bottom w:val="single" w:sz="4" w:space="0" w:color="auto"/>
            </w:tcBorders>
            <w:vAlign w:val="center"/>
            <w:hideMark/>
          </w:tcPr>
          <w:p w14:paraId="29185936"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Outcome and economic terms</w:t>
            </w:r>
          </w:p>
        </w:tc>
        <w:tc>
          <w:tcPr>
            <w:tcW w:w="941" w:type="pct"/>
            <w:tcBorders>
              <w:top w:val="single" w:sz="4" w:space="0" w:color="auto"/>
              <w:bottom w:val="single" w:sz="4" w:space="0" w:color="auto"/>
            </w:tcBorders>
            <w:vAlign w:val="center"/>
            <w:hideMark/>
          </w:tcPr>
          <w:p w14:paraId="26232544" w14:textId="77777777" w:rsidR="00B768A1" w:rsidRPr="00AA719D" w:rsidRDefault="00B768A1">
            <w:pPr>
              <w:rPr>
                <w:rFonts w:ascii="Times New Roman" w:hAnsi="Times New Roman" w:cs="Times New Roman"/>
                <w:b/>
                <w:bCs/>
                <w:color w:val="1A1C1F"/>
                <w:sz w:val="18"/>
                <w:szCs w:val="18"/>
              </w:rPr>
            </w:pPr>
            <w:r w:rsidRPr="00AA719D">
              <w:rPr>
                <w:rFonts w:ascii="Times New Roman" w:hAnsi="Times New Roman" w:cs="Times New Roman"/>
                <w:b/>
                <w:bCs/>
                <w:color w:val="1A1C1F"/>
                <w:sz w:val="18"/>
                <w:szCs w:val="18"/>
              </w:rPr>
              <w:t>Database-specific adaptations and limits</w:t>
            </w:r>
          </w:p>
        </w:tc>
      </w:tr>
      <w:tr w:rsidR="00B768A1" w:rsidRPr="00B768A1" w14:paraId="20E5AD7A" w14:textId="77777777" w:rsidTr="00AA719D">
        <w:trPr>
          <w:trHeight w:val="8192"/>
        </w:trPr>
        <w:tc>
          <w:tcPr>
            <w:tcW w:w="605" w:type="pct"/>
            <w:tcBorders>
              <w:top w:val="single" w:sz="4" w:space="0" w:color="auto"/>
            </w:tcBorders>
            <w:vAlign w:val="center"/>
            <w:hideMark/>
          </w:tcPr>
          <w:p w14:paraId="58FD022C"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International databases</w:t>
            </w:r>
          </w:p>
        </w:tc>
        <w:tc>
          <w:tcPr>
            <w:tcW w:w="572" w:type="pct"/>
            <w:tcBorders>
              <w:top w:val="single" w:sz="4" w:space="0" w:color="auto"/>
            </w:tcBorders>
            <w:vAlign w:val="center"/>
            <w:hideMark/>
          </w:tcPr>
          <w:p w14:paraId="7D493A0E"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MEDLINE, Embase, and Web of Science</w:t>
            </w:r>
          </w:p>
        </w:tc>
        <w:tc>
          <w:tcPr>
            <w:tcW w:w="471" w:type="pct"/>
            <w:vMerge w:val="restart"/>
            <w:tcBorders>
              <w:top w:val="single" w:sz="4" w:space="0" w:color="auto"/>
            </w:tcBorders>
            <w:vAlign w:val="center"/>
            <w:hideMark/>
          </w:tcPr>
          <w:p w14:paraId="7D4536C0" w14:textId="77777777" w:rsidR="00B768A1" w:rsidRPr="00AA719D" w:rsidRDefault="00B768A1">
            <w:pPr>
              <w:jc w:val="center"/>
              <w:rPr>
                <w:rFonts w:ascii="Times New Roman" w:hAnsi="Times New Roman" w:cs="Times New Roman"/>
                <w:color w:val="1A1C1F"/>
                <w:sz w:val="18"/>
                <w:szCs w:val="18"/>
              </w:rPr>
            </w:pPr>
            <w:r w:rsidRPr="00AA719D">
              <w:rPr>
                <w:rFonts w:ascii="Times New Roman" w:hAnsi="Times New Roman" w:cs="Times New Roman"/>
                <w:color w:val="1A1C1F"/>
                <w:sz w:val="18"/>
                <w:szCs w:val="18"/>
              </w:rPr>
              <w:t>Searched to 22 March 2024; initial search period from 1 January 2018 to 22 March 2024</w:t>
            </w:r>
          </w:p>
        </w:tc>
        <w:tc>
          <w:tcPr>
            <w:tcW w:w="657" w:type="pct"/>
            <w:tcBorders>
              <w:top w:val="single" w:sz="4" w:space="0" w:color="auto"/>
            </w:tcBorders>
            <w:vAlign w:val="center"/>
            <w:hideMark/>
          </w:tcPr>
          <w:p w14:paraId="635253C4"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Controlled vocabulary, where available, and free-text terms for “multiple myeloma” and “multiple myelomas”; prospective; retrospective; observational; cross-sectional; real-world; cohort; registry; survey; questionnaire; chart review</w:t>
            </w:r>
          </w:p>
        </w:tc>
        <w:tc>
          <w:tcPr>
            <w:tcW w:w="1026" w:type="pct"/>
            <w:tcBorders>
              <w:top w:val="single" w:sz="4" w:space="0" w:color="auto"/>
            </w:tcBorders>
            <w:vAlign w:val="center"/>
            <w:hideMark/>
          </w:tcPr>
          <w:p w14:paraId="68647552"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Generic and brand names of relevant treatments, including ixazomib/Ninlaro, daratumumab/Darzalex, lenalidomide, dexamethasone, carfilzomib, bortezomib, pomalidomide, thalidomide, cyclophosphamide, doxorubicin, bendamustine, and selinexor; regimen names and abbreviations including IRd, DRd, KRd, Kd, VRd, VCd, VAd, VTd, Vd, DPd, Dd, Pd, and Rd</w:t>
            </w:r>
          </w:p>
        </w:tc>
        <w:tc>
          <w:tcPr>
            <w:tcW w:w="729" w:type="pct"/>
            <w:tcBorders>
              <w:top w:val="single" w:sz="4" w:space="0" w:color="auto"/>
            </w:tcBorders>
            <w:vAlign w:val="center"/>
            <w:hideMark/>
          </w:tcPr>
          <w:p w14:paraId="70F5B2F0"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Overall response; progression-free survival; overall survival; treatment discontinuation; adverse events; health-related quality of life; utility; EQ-5D; SF-36; EORTC QLQ-C30; QLQ-MY20; FACT-MM; healthcare resource utilization; hospitalization; outpatient care; cost; expenditure; reimbursement; cost-effectiveness; cost-utility; budget impact; economic burden; HTA; ICER</w:t>
            </w:r>
          </w:p>
        </w:tc>
        <w:tc>
          <w:tcPr>
            <w:tcW w:w="941" w:type="pct"/>
            <w:tcBorders>
              <w:top w:val="single" w:sz="4" w:space="0" w:color="auto"/>
            </w:tcBorders>
            <w:vAlign w:val="center"/>
            <w:hideMark/>
          </w:tcPr>
          <w:p w14:paraId="1CDE8D76"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Search syntax was adapted to the indexing and field structure of each database, including Emtree and title/abstract/keyword fields in Embase, MeSH and title/abstract/keyword fields in MEDLINE, and topic/title fields in Web of Science. Publication-date, geographic, study-design, and publication-type limits were applied according to the parameter being searched.</w:t>
            </w:r>
          </w:p>
        </w:tc>
      </w:tr>
      <w:tr w:rsidR="00B768A1" w:rsidRPr="00B768A1" w14:paraId="0AECF1D9" w14:textId="77777777" w:rsidTr="00AA719D">
        <w:trPr>
          <w:trHeight w:val="4973"/>
        </w:trPr>
        <w:tc>
          <w:tcPr>
            <w:tcW w:w="605" w:type="pct"/>
            <w:vAlign w:val="center"/>
            <w:hideMark/>
          </w:tcPr>
          <w:p w14:paraId="263CF158"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lastRenderedPageBreak/>
              <w:t>Chinese databases</w:t>
            </w:r>
          </w:p>
        </w:tc>
        <w:tc>
          <w:tcPr>
            <w:tcW w:w="572" w:type="pct"/>
            <w:vAlign w:val="center"/>
            <w:hideMark/>
          </w:tcPr>
          <w:p w14:paraId="0B039683"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CNKI, Wanfang, and VIP</w:t>
            </w:r>
          </w:p>
        </w:tc>
        <w:tc>
          <w:tcPr>
            <w:tcW w:w="471" w:type="pct"/>
            <w:vMerge/>
            <w:vAlign w:val="center"/>
            <w:hideMark/>
          </w:tcPr>
          <w:p w14:paraId="23B1D564" w14:textId="77777777" w:rsidR="00B768A1" w:rsidRPr="00AA719D" w:rsidRDefault="00B768A1">
            <w:pPr>
              <w:rPr>
                <w:rFonts w:ascii="Times New Roman" w:hAnsi="Times New Roman" w:cs="Times New Roman"/>
                <w:color w:val="1A1C1F"/>
                <w:sz w:val="18"/>
                <w:szCs w:val="18"/>
              </w:rPr>
            </w:pPr>
          </w:p>
        </w:tc>
        <w:tc>
          <w:tcPr>
            <w:tcW w:w="657" w:type="pct"/>
            <w:vAlign w:val="center"/>
            <w:hideMark/>
          </w:tcPr>
          <w:p w14:paraId="785420D6"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hint="eastAsia"/>
                <w:color w:val="1A1C1F"/>
                <w:sz w:val="18"/>
                <w:szCs w:val="18"/>
              </w:rPr>
              <w:t>多发性骨髓瘤；前瞻；回顾；观察性研究；横断面；横截面；真实世界；队列；登记；问卷调查；病历回顾</w:t>
            </w:r>
          </w:p>
        </w:tc>
        <w:tc>
          <w:tcPr>
            <w:tcW w:w="1026" w:type="pct"/>
            <w:vAlign w:val="center"/>
            <w:hideMark/>
          </w:tcPr>
          <w:p w14:paraId="4E7CA4D5" w14:textId="06125DC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hint="eastAsia"/>
                <w:color w:val="1A1C1F"/>
                <w:sz w:val="18"/>
                <w:szCs w:val="18"/>
              </w:rPr>
              <w:t>伊沙佐米</w:t>
            </w:r>
            <w:r w:rsidRPr="00AA719D">
              <w:rPr>
                <w:rFonts w:ascii="Times New Roman" w:hAnsi="Times New Roman" w:cs="Times New Roman"/>
                <w:color w:val="1A1C1F"/>
                <w:sz w:val="18"/>
                <w:szCs w:val="18"/>
              </w:rPr>
              <w:t>/</w:t>
            </w:r>
            <w:r w:rsidRPr="00AA719D">
              <w:rPr>
                <w:rFonts w:ascii="Times New Roman" w:hAnsi="Times New Roman" w:cs="Times New Roman" w:hint="eastAsia"/>
                <w:color w:val="1A1C1F"/>
                <w:sz w:val="18"/>
                <w:szCs w:val="18"/>
              </w:rPr>
              <w:t>恩莱瑞；达雷妥尤单抗</w:t>
            </w:r>
            <w:r w:rsidRPr="00AA719D">
              <w:rPr>
                <w:rFonts w:ascii="Times New Roman" w:hAnsi="Times New Roman" w:cs="Times New Roman"/>
                <w:color w:val="1A1C1F"/>
                <w:sz w:val="18"/>
                <w:szCs w:val="18"/>
              </w:rPr>
              <w:t>/</w:t>
            </w:r>
            <w:r w:rsidRPr="00AA719D">
              <w:rPr>
                <w:rFonts w:ascii="Times New Roman" w:hAnsi="Times New Roman" w:cs="Times New Roman" w:hint="eastAsia"/>
                <w:color w:val="1A1C1F"/>
                <w:sz w:val="18"/>
                <w:szCs w:val="18"/>
              </w:rPr>
              <w:t>兆珂；来那度胺；地塞米松；卡非佐米；硼替佐米；泊马度胺；沙利度胺；环磷酰胺；阿霉素；苯达莫司汀；塞利尼索；</w:t>
            </w:r>
            <w:r w:rsidR="00ED6D37" w:rsidRPr="00ED6D37">
              <w:rPr>
                <w:rFonts w:ascii="Times New Roman" w:hAnsi="Times New Roman" w:cs="Times New Roman"/>
                <w:color w:val="1A1C1F"/>
                <w:sz w:val="18"/>
                <w:szCs w:val="18"/>
              </w:rPr>
              <w:t>and relevant treatment regimen names or abbreviations, including IRd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DRd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KRd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Kd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VRd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VCd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VAd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VTd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Vd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DPd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Dd</w:t>
            </w:r>
            <w:r w:rsidR="00ED6D37" w:rsidRPr="00ED6D37">
              <w:rPr>
                <w:rFonts w:ascii="Times New Roman" w:hAnsi="Times New Roman" w:cs="Times New Roman"/>
                <w:color w:val="1A1C1F"/>
                <w:sz w:val="18"/>
                <w:szCs w:val="18"/>
              </w:rPr>
              <w:t>、</w:t>
            </w:r>
            <w:r w:rsidR="00ED6D37" w:rsidRPr="00ED6D37">
              <w:rPr>
                <w:rFonts w:ascii="Times New Roman" w:hAnsi="Times New Roman" w:cs="Times New Roman"/>
                <w:color w:val="1A1C1F"/>
                <w:sz w:val="18"/>
                <w:szCs w:val="18"/>
              </w:rPr>
              <w:t>Pd</w:t>
            </w:r>
            <w:r w:rsidR="00ED6D37">
              <w:rPr>
                <w:rFonts w:ascii="Times New Roman" w:hAnsi="Times New Roman" w:cs="Times New Roman" w:hint="eastAsia"/>
                <w:color w:val="1A1C1F"/>
                <w:sz w:val="18"/>
                <w:szCs w:val="18"/>
              </w:rPr>
              <w:t xml:space="preserve"> and </w:t>
            </w:r>
            <w:r w:rsidR="00ED6D37" w:rsidRPr="00ED6D37">
              <w:rPr>
                <w:rFonts w:ascii="Times New Roman" w:hAnsi="Times New Roman" w:cs="Times New Roman"/>
                <w:color w:val="1A1C1F"/>
                <w:sz w:val="18"/>
                <w:szCs w:val="18"/>
              </w:rPr>
              <w:t>Rd</w:t>
            </w:r>
          </w:p>
        </w:tc>
        <w:tc>
          <w:tcPr>
            <w:tcW w:w="729" w:type="pct"/>
            <w:vAlign w:val="center"/>
            <w:hideMark/>
          </w:tcPr>
          <w:p w14:paraId="1ECC5938"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hint="eastAsia"/>
                <w:color w:val="1A1C1F"/>
                <w:sz w:val="18"/>
                <w:szCs w:val="18"/>
              </w:rPr>
              <w:t>总缓解率；无进展生存；总生存；治疗中止；不良事件；生活质量；生命质量；健康效用；</w:t>
            </w:r>
            <w:r w:rsidRPr="00AA719D">
              <w:rPr>
                <w:rFonts w:ascii="Times New Roman" w:hAnsi="Times New Roman" w:cs="Times New Roman"/>
                <w:color w:val="1A1C1F"/>
                <w:sz w:val="18"/>
                <w:szCs w:val="18"/>
              </w:rPr>
              <w:t>EQ-5D</w:t>
            </w:r>
            <w:r w:rsidRPr="00AA719D">
              <w:rPr>
                <w:rFonts w:ascii="Times New Roman" w:hAnsi="Times New Roman" w:cs="Times New Roman" w:hint="eastAsia"/>
                <w:color w:val="1A1C1F"/>
                <w:sz w:val="18"/>
                <w:szCs w:val="18"/>
              </w:rPr>
              <w:t>；</w:t>
            </w:r>
            <w:r w:rsidRPr="00AA719D">
              <w:rPr>
                <w:rFonts w:ascii="Times New Roman" w:hAnsi="Times New Roman" w:cs="Times New Roman"/>
                <w:color w:val="1A1C1F"/>
                <w:sz w:val="18"/>
                <w:szCs w:val="18"/>
              </w:rPr>
              <w:t>SF-36</w:t>
            </w:r>
            <w:r w:rsidRPr="00AA719D">
              <w:rPr>
                <w:rFonts w:ascii="Times New Roman" w:hAnsi="Times New Roman" w:cs="Times New Roman" w:hint="eastAsia"/>
                <w:color w:val="1A1C1F"/>
                <w:sz w:val="18"/>
                <w:szCs w:val="18"/>
              </w:rPr>
              <w:t>；</w:t>
            </w:r>
            <w:r w:rsidRPr="00AA719D">
              <w:rPr>
                <w:rFonts w:ascii="Times New Roman" w:hAnsi="Times New Roman" w:cs="Times New Roman"/>
                <w:color w:val="1A1C1F"/>
                <w:sz w:val="18"/>
                <w:szCs w:val="18"/>
              </w:rPr>
              <w:t>EORTC QLQ-C30</w:t>
            </w:r>
            <w:r w:rsidRPr="00AA719D">
              <w:rPr>
                <w:rFonts w:ascii="Times New Roman" w:hAnsi="Times New Roman" w:cs="Times New Roman" w:hint="eastAsia"/>
                <w:color w:val="1A1C1F"/>
                <w:sz w:val="18"/>
                <w:szCs w:val="18"/>
              </w:rPr>
              <w:t>；</w:t>
            </w:r>
            <w:r w:rsidRPr="00AA719D">
              <w:rPr>
                <w:rFonts w:ascii="Times New Roman" w:hAnsi="Times New Roman" w:cs="Times New Roman"/>
                <w:color w:val="1A1C1F"/>
                <w:sz w:val="18"/>
                <w:szCs w:val="18"/>
              </w:rPr>
              <w:t>QLQ-MY20</w:t>
            </w:r>
            <w:r w:rsidRPr="00AA719D">
              <w:rPr>
                <w:rFonts w:ascii="Times New Roman" w:hAnsi="Times New Roman" w:cs="Times New Roman" w:hint="eastAsia"/>
                <w:color w:val="1A1C1F"/>
                <w:sz w:val="18"/>
                <w:szCs w:val="18"/>
              </w:rPr>
              <w:t>；</w:t>
            </w:r>
            <w:r w:rsidRPr="00AA719D">
              <w:rPr>
                <w:rFonts w:ascii="Times New Roman" w:hAnsi="Times New Roman" w:cs="Times New Roman"/>
                <w:color w:val="1A1C1F"/>
                <w:sz w:val="18"/>
                <w:szCs w:val="18"/>
              </w:rPr>
              <w:t>FACT-MM</w:t>
            </w:r>
            <w:r w:rsidRPr="00AA719D">
              <w:rPr>
                <w:rFonts w:ascii="Times New Roman" w:hAnsi="Times New Roman" w:cs="Times New Roman" w:hint="eastAsia"/>
                <w:color w:val="1A1C1F"/>
                <w:sz w:val="18"/>
                <w:szCs w:val="18"/>
              </w:rPr>
              <w:t>；卫生资源利用；医疗资源利用；住院；门诊；费用；成本；支出；报销；成本效果；成本效用；预算影响；经济负担；疾病负担；卫生技术评估；</w:t>
            </w:r>
            <w:r w:rsidRPr="00AA719D">
              <w:rPr>
                <w:rFonts w:ascii="Times New Roman" w:hAnsi="Times New Roman" w:cs="Times New Roman"/>
                <w:color w:val="1A1C1F"/>
                <w:sz w:val="18"/>
                <w:szCs w:val="18"/>
              </w:rPr>
              <w:t>HTA</w:t>
            </w:r>
            <w:r w:rsidRPr="00AA719D">
              <w:rPr>
                <w:rFonts w:ascii="Times New Roman" w:hAnsi="Times New Roman" w:cs="Times New Roman" w:hint="eastAsia"/>
                <w:color w:val="1A1C1F"/>
                <w:sz w:val="18"/>
                <w:szCs w:val="18"/>
              </w:rPr>
              <w:t>；</w:t>
            </w:r>
            <w:r w:rsidRPr="00AA719D">
              <w:rPr>
                <w:rFonts w:ascii="Times New Roman" w:hAnsi="Times New Roman" w:cs="Times New Roman"/>
                <w:color w:val="1A1C1F"/>
                <w:sz w:val="18"/>
                <w:szCs w:val="18"/>
              </w:rPr>
              <w:t>ICER</w:t>
            </w:r>
          </w:p>
        </w:tc>
        <w:tc>
          <w:tcPr>
            <w:tcW w:w="941" w:type="pct"/>
            <w:vAlign w:val="center"/>
            <w:hideMark/>
          </w:tcPr>
          <w:p w14:paraId="20878B05" w14:textId="77777777" w:rsidR="00B768A1" w:rsidRPr="00AA719D" w:rsidRDefault="00B768A1">
            <w:pPr>
              <w:rPr>
                <w:rFonts w:ascii="Times New Roman" w:hAnsi="Times New Roman" w:cs="Times New Roman"/>
                <w:color w:val="1A1C1F"/>
                <w:sz w:val="18"/>
                <w:szCs w:val="18"/>
              </w:rPr>
            </w:pPr>
            <w:r w:rsidRPr="00AA719D">
              <w:rPr>
                <w:rFonts w:ascii="Times New Roman" w:hAnsi="Times New Roman" w:cs="Times New Roman"/>
                <w:color w:val="1A1C1F"/>
                <w:sz w:val="18"/>
                <w:szCs w:val="18"/>
              </w:rPr>
              <w:t>Search syntax and field tags were adapted to the subject, title, keyword, abstract, or full-text fields available in CNKI, Wanfang, and VIP. Journal-type, publication-date, geographic, and study-design restrictions were applied according to the model parameter being searched. Reviews, guidelines, consensus statements, case reports, and animal studies were excluded where applicable.</w:t>
            </w:r>
          </w:p>
        </w:tc>
      </w:tr>
    </w:tbl>
    <w:p w14:paraId="10A7F45A" w14:textId="4487D2F5" w:rsidR="00B768A1" w:rsidRPr="00B768A1" w:rsidRDefault="00B768A1" w:rsidP="00AA719D">
      <w:pPr>
        <w:spacing w:before="40" w:after="60"/>
        <w:rPr>
          <w:rFonts w:ascii="Times New Roman" w:hAnsi="Times New Roman" w:cs="Times New Roman"/>
        </w:rPr>
      </w:pPr>
      <w:r w:rsidRPr="00B768A1">
        <w:rPr>
          <w:rFonts w:ascii="Times New Roman" w:hAnsi="Times New Roman" w:cs="Times New Roman"/>
        </w:rPr>
        <w:t>Synonyms and related terms within each search concept were combined using the OR operator. The multiple myeloma concept was then combined separately with terms for study design, treatment, clinical outcomes, safety, health-related quality of life and utilities, healthcare resource utilization and costs, and economic outcomes using the AND operator. Search syntax, controlled vocabulary, field tags, and limits were adapted to the indexing system of each database. Searches for cohort characteristics, treatment patterns, and direct medical costs were restricted to mainland China. Searches for subsequent-line clinical efficacy, safety, and health-related quality-of-life inputs primarily included evidence from China, Japan, and South Korea. Where relevant Asian evidence was insufficient for selected model inputs, supplementary targeted searches were conducted without geographic or publication-date restrictions.</w:t>
      </w:r>
    </w:p>
    <w:p w14:paraId="5EF3DAE5" w14:textId="67CBF6F1" w:rsidR="00907E93" w:rsidRPr="008E1CAD" w:rsidRDefault="00586316" w:rsidP="00DB2FAD">
      <w:pPr>
        <w:pStyle w:val="21"/>
        <w:rPr>
          <w:rFonts w:cs="Times New Roman"/>
        </w:rPr>
      </w:pPr>
      <w:r w:rsidRPr="008E1CAD">
        <w:rPr>
          <w:rFonts w:cs="Times New Roman"/>
        </w:rPr>
        <w:t>1.2 Inclusion and exclusion criteria</w:t>
      </w:r>
    </w:p>
    <w:p w14:paraId="4C215B15" w14:textId="77777777"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Studies were screened based on the following predefined criteria:</w:t>
      </w:r>
    </w:p>
    <w:p w14:paraId="36B010F1" w14:textId="61512C78" w:rsidR="00907E93" w:rsidRPr="008E1CAD" w:rsidRDefault="00000000">
      <w:pPr>
        <w:spacing w:before="80" w:after="120"/>
        <w:rPr>
          <w:rFonts w:ascii="Times New Roman" w:hAnsi="Times New Roman" w:cs="Times New Roman"/>
        </w:rPr>
      </w:pPr>
      <w:r w:rsidRPr="008E1CAD">
        <w:rPr>
          <w:rFonts w:ascii="Times New Roman" w:eastAsia="Times New Roman" w:hAnsi="Times New Roman" w:cs="Times New Roman"/>
          <w:b/>
        </w:rPr>
        <w:t xml:space="preserve">Inclusion </w:t>
      </w:r>
      <w:r w:rsidR="00586316" w:rsidRPr="008E1CAD">
        <w:rPr>
          <w:rFonts w:ascii="Times New Roman" w:eastAsia="Times New Roman" w:hAnsi="Times New Roman" w:cs="Times New Roman"/>
          <w:b/>
        </w:rPr>
        <w:t>c</w:t>
      </w:r>
      <w:r w:rsidRPr="008E1CAD">
        <w:rPr>
          <w:rFonts w:ascii="Times New Roman" w:eastAsia="Times New Roman" w:hAnsi="Times New Roman" w:cs="Times New Roman"/>
          <w:b/>
        </w:rPr>
        <w:t>riteria:</w:t>
      </w:r>
    </w:p>
    <w:p w14:paraId="1B86BF00" w14:textId="7C34E0F5" w:rsidR="00907E93" w:rsidRPr="008E1CAD" w:rsidRDefault="00000000" w:rsidP="00171205">
      <w:pPr>
        <w:pStyle w:val="ae"/>
        <w:numPr>
          <w:ilvl w:val="0"/>
          <w:numId w:val="11"/>
        </w:numPr>
        <w:spacing w:before="40" w:after="60"/>
        <w:rPr>
          <w:rFonts w:ascii="Times New Roman" w:hAnsi="Times New Roman" w:cs="Times New Roman"/>
        </w:rPr>
      </w:pPr>
      <w:r w:rsidRPr="008E1CAD">
        <w:rPr>
          <w:rFonts w:ascii="Times New Roman" w:eastAsia="Times New Roman" w:hAnsi="Times New Roman" w:cs="Times New Roman"/>
        </w:rPr>
        <w:t>Observational studies (e.g., retrospective/prospective cohort studies, registry analyses, chart reviews).</w:t>
      </w:r>
    </w:p>
    <w:p w14:paraId="1B5A277D" w14:textId="13A70560" w:rsidR="00907E93" w:rsidRPr="008E1CAD" w:rsidRDefault="00000000" w:rsidP="00171205">
      <w:pPr>
        <w:pStyle w:val="ae"/>
        <w:numPr>
          <w:ilvl w:val="0"/>
          <w:numId w:val="11"/>
        </w:numPr>
        <w:spacing w:before="40" w:after="60"/>
        <w:rPr>
          <w:rFonts w:ascii="Times New Roman" w:hAnsi="Times New Roman" w:cs="Times New Roman"/>
        </w:rPr>
      </w:pPr>
      <w:r w:rsidRPr="008E1CAD">
        <w:rPr>
          <w:rFonts w:ascii="Times New Roman" w:eastAsia="Times New Roman" w:hAnsi="Times New Roman" w:cs="Times New Roman"/>
        </w:rPr>
        <w:t>Study populations consisting of adult patients diagnosed with multiple myeloma (MM).</w:t>
      </w:r>
    </w:p>
    <w:p w14:paraId="6CA99AA2" w14:textId="22989469" w:rsidR="00907E93" w:rsidRPr="008E1CAD" w:rsidRDefault="00171205" w:rsidP="00171205">
      <w:pPr>
        <w:pStyle w:val="ae"/>
        <w:numPr>
          <w:ilvl w:val="0"/>
          <w:numId w:val="11"/>
        </w:numPr>
        <w:spacing w:before="40" w:after="60"/>
        <w:rPr>
          <w:rFonts w:ascii="Times New Roman" w:hAnsi="Times New Roman" w:cs="Times New Roman"/>
        </w:rPr>
      </w:pPr>
      <w:r w:rsidRPr="008E1CAD">
        <w:rPr>
          <w:rFonts w:ascii="Times New Roman" w:eastAsia="Times New Roman" w:hAnsi="Times New Roman" w:cs="Times New Roman"/>
        </w:rPr>
        <w:lastRenderedPageBreak/>
        <w:t>Patients with front-line newly diagnosed multiple myeloma (ndMM) receiving bortezomib-based (V-based) induction followed by iCT IRd continuous therapy, or patients receiving continuous DRd therapy.</w:t>
      </w:r>
    </w:p>
    <w:p w14:paraId="419E29D8" w14:textId="5835C72E" w:rsidR="00907E93" w:rsidRPr="008E1CAD" w:rsidRDefault="00000000" w:rsidP="00171205">
      <w:pPr>
        <w:pStyle w:val="ae"/>
        <w:numPr>
          <w:ilvl w:val="0"/>
          <w:numId w:val="11"/>
        </w:numPr>
        <w:tabs>
          <w:tab w:val="left" w:pos="1134"/>
        </w:tabs>
        <w:spacing w:before="40" w:after="60"/>
        <w:rPr>
          <w:rFonts w:ascii="Times New Roman" w:hAnsi="Times New Roman" w:cs="Times New Roman"/>
        </w:rPr>
      </w:pPr>
      <w:r w:rsidRPr="008E1CAD">
        <w:rPr>
          <w:rFonts w:ascii="Times New Roman" w:eastAsia="Times New Roman" w:hAnsi="Times New Roman" w:cs="Times New Roman"/>
        </w:rPr>
        <w:t xml:space="preserve">Relapsed or refractory multiple myeloma (rrMM) patients receiving any documented </w:t>
      </w:r>
      <w:r w:rsidR="00171205" w:rsidRPr="008E1CAD">
        <w:rPr>
          <w:rFonts w:ascii="Times New Roman" w:eastAsia="Times New Roman" w:hAnsi="Times New Roman" w:cs="Times New Roman"/>
        </w:rPr>
        <w:t>subsequent induction or maintenance regimens</w:t>
      </w:r>
      <w:r w:rsidRPr="008E1CAD">
        <w:rPr>
          <w:rFonts w:ascii="Times New Roman" w:eastAsia="Times New Roman" w:hAnsi="Times New Roman" w:cs="Times New Roman"/>
        </w:rPr>
        <w:t>.</w:t>
      </w:r>
    </w:p>
    <w:p w14:paraId="6BB81A02" w14:textId="3C94F145" w:rsidR="00907E93" w:rsidRPr="008E1CAD" w:rsidRDefault="00000000" w:rsidP="00171205">
      <w:pPr>
        <w:pStyle w:val="ae"/>
        <w:numPr>
          <w:ilvl w:val="0"/>
          <w:numId w:val="11"/>
        </w:numPr>
        <w:tabs>
          <w:tab w:val="left" w:pos="1134"/>
        </w:tabs>
        <w:spacing w:before="40" w:after="60"/>
        <w:rPr>
          <w:rFonts w:ascii="Times New Roman" w:hAnsi="Times New Roman" w:cs="Times New Roman"/>
        </w:rPr>
      </w:pPr>
      <w:r w:rsidRPr="008E1CAD">
        <w:rPr>
          <w:rFonts w:ascii="Times New Roman" w:eastAsia="Times New Roman" w:hAnsi="Times New Roman" w:cs="Times New Roman"/>
        </w:rPr>
        <w:t>Complete reporting of relevant statistical data required for parameter estimation.</w:t>
      </w:r>
    </w:p>
    <w:p w14:paraId="10CAB711" w14:textId="34E9ACB1" w:rsidR="00907E93" w:rsidRPr="008E1CAD" w:rsidRDefault="00000000">
      <w:pPr>
        <w:spacing w:before="80" w:after="120"/>
        <w:rPr>
          <w:rFonts w:ascii="Times New Roman" w:hAnsi="Times New Roman" w:cs="Times New Roman"/>
        </w:rPr>
      </w:pPr>
      <w:r w:rsidRPr="008E1CAD">
        <w:rPr>
          <w:rFonts w:ascii="Times New Roman" w:eastAsia="Times New Roman" w:hAnsi="Times New Roman" w:cs="Times New Roman"/>
          <w:b/>
        </w:rPr>
        <w:t xml:space="preserve">Exclusion </w:t>
      </w:r>
      <w:r w:rsidR="00586316" w:rsidRPr="008E1CAD">
        <w:rPr>
          <w:rFonts w:ascii="Times New Roman" w:eastAsia="Times New Roman" w:hAnsi="Times New Roman" w:cs="Times New Roman"/>
          <w:b/>
        </w:rPr>
        <w:t>c</w:t>
      </w:r>
      <w:r w:rsidRPr="008E1CAD">
        <w:rPr>
          <w:rFonts w:ascii="Times New Roman" w:eastAsia="Times New Roman" w:hAnsi="Times New Roman" w:cs="Times New Roman"/>
          <w:b/>
        </w:rPr>
        <w:t>riteria:</w:t>
      </w:r>
    </w:p>
    <w:p w14:paraId="4BDDAFDD" w14:textId="38F8AA6D" w:rsidR="00907E93" w:rsidRPr="008E1CAD" w:rsidRDefault="00000000" w:rsidP="00171205">
      <w:pPr>
        <w:pStyle w:val="ae"/>
        <w:numPr>
          <w:ilvl w:val="0"/>
          <w:numId w:val="12"/>
        </w:numPr>
        <w:spacing w:before="40" w:after="60"/>
        <w:rPr>
          <w:rFonts w:ascii="Times New Roman" w:hAnsi="Times New Roman" w:cs="Times New Roman"/>
        </w:rPr>
      </w:pPr>
      <w:r w:rsidRPr="008E1CAD">
        <w:rPr>
          <w:rFonts w:ascii="Times New Roman" w:eastAsia="Times New Roman" w:hAnsi="Times New Roman" w:cs="Times New Roman"/>
        </w:rPr>
        <w:t>Experimental designs, randomized controlled trials (RCTs) without real-world arms, reviews, editorials, or case reports.</w:t>
      </w:r>
    </w:p>
    <w:p w14:paraId="12B07CF7" w14:textId="36AEE094" w:rsidR="00907E93" w:rsidRPr="008E1CAD" w:rsidRDefault="00000000" w:rsidP="00171205">
      <w:pPr>
        <w:pStyle w:val="ae"/>
        <w:numPr>
          <w:ilvl w:val="0"/>
          <w:numId w:val="12"/>
        </w:numPr>
        <w:spacing w:before="40" w:after="60"/>
        <w:rPr>
          <w:rFonts w:ascii="Times New Roman" w:hAnsi="Times New Roman" w:cs="Times New Roman"/>
        </w:rPr>
      </w:pPr>
      <w:r w:rsidRPr="008E1CAD">
        <w:rPr>
          <w:rFonts w:ascii="Times New Roman" w:eastAsia="Times New Roman" w:hAnsi="Times New Roman" w:cs="Times New Roman"/>
        </w:rPr>
        <w:t>Non-MM populations.</w:t>
      </w:r>
    </w:p>
    <w:p w14:paraId="17B6D4BE" w14:textId="6DEA6475" w:rsidR="00907E93" w:rsidRPr="008E1CAD" w:rsidRDefault="00000000" w:rsidP="00171205">
      <w:pPr>
        <w:pStyle w:val="ae"/>
        <w:numPr>
          <w:ilvl w:val="0"/>
          <w:numId w:val="12"/>
        </w:numPr>
        <w:spacing w:before="40" w:after="60"/>
        <w:rPr>
          <w:rFonts w:ascii="Times New Roman" w:hAnsi="Times New Roman" w:cs="Times New Roman"/>
        </w:rPr>
      </w:pPr>
      <w:r w:rsidRPr="008E1CAD">
        <w:rPr>
          <w:rFonts w:ascii="Times New Roman" w:eastAsia="Times New Roman" w:hAnsi="Times New Roman" w:cs="Times New Roman"/>
        </w:rPr>
        <w:t>Non-Chinese populations for cohort demographics, treatment patterns, and cost parameters.</w:t>
      </w:r>
    </w:p>
    <w:p w14:paraId="5C0C3BA9" w14:textId="541CBC69" w:rsidR="00907E93" w:rsidRPr="008E1CAD" w:rsidRDefault="00000000" w:rsidP="00171205">
      <w:pPr>
        <w:pStyle w:val="ae"/>
        <w:numPr>
          <w:ilvl w:val="0"/>
          <w:numId w:val="12"/>
        </w:numPr>
        <w:spacing w:before="40" w:after="60"/>
        <w:rPr>
          <w:rFonts w:ascii="Times New Roman" w:hAnsi="Times New Roman" w:cs="Times New Roman"/>
        </w:rPr>
      </w:pPr>
      <w:r w:rsidRPr="008E1CAD">
        <w:rPr>
          <w:rFonts w:ascii="Times New Roman" w:eastAsia="Times New Roman" w:hAnsi="Times New Roman" w:cs="Times New Roman"/>
        </w:rPr>
        <w:t>Non-East Asian populations for subsequent-line efficacy, safety, and utility parameters (unless retrieved via the targeted supplementary search).</w:t>
      </w:r>
    </w:p>
    <w:p w14:paraId="5C59BCE7" w14:textId="6D74F52A" w:rsidR="00907E93" w:rsidRPr="008E1CAD" w:rsidRDefault="00000000" w:rsidP="00171205">
      <w:pPr>
        <w:pStyle w:val="ae"/>
        <w:numPr>
          <w:ilvl w:val="0"/>
          <w:numId w:val="12"/>
        </w:numPr>
        <w:spacing w:before="40" w:after="60"/>
        <w:rPr>
          <w:rFonts w:ascii="Times New Roman" w:hAnsi="Times New Roman" w:cs="Times New Roman"/>
        </w:rPr>
      </w:pPr>
      <w:r w:rsidRPr="008E1CAD">
        <w:rPr>
          <w:rFonts w:ascii="Times New Roman" w:eastAsia="Times New Roman" w:hAnsi="Times New Roman" w:cs="Times New Roman"/>
        </w:rPr>
        <w:t>Insufficient reporting of variance, sample size, or clear endpoints.</w:t>
      </w:r>
    </w:p>
    <w:p w14:paraId="79B0C314" w14:textId="0E80EFB9" w:rsidR="00907E93" w:rsidRPr="008E1CAD" w:rsidRDefault="00000000" w:rsidP="00DB2FAD">
      <w:pPr>
        <w:pStyle w:val="21"/>
        <w:rPr>
          <w:rFonts w:cs="Times New Roman"/>
        </w:rPr>
      </w:pPr>
      <w:r w:rsidRPr="008E1CAD">
        <w:rPr>
          <w:rFonts w:cs="Times New Roman"/>
        </w:rPr>
        <w:t xml:space="preserve">1.3 Screening </w:t>
      </w:r>
      <w:r w:rsidR="00586316" w:rsidRPr="008E1CAD">
        <w:rPr>
          <w:rFonts w:cs="Times New Roman"/>
        </w:rPr>
        <w:t>results and</w:t>
      </w:r>
      <w:r w:rsidRPr="008E1CAD">
        <w:rPr>
          <w:rFonts w:cs="Times New Roman"/>
        </w:rPr>
        <w:t xml:space="preserve"> PRISMA</w:t>
      </w:r>
      <w:r w:rsidR="00586316" w:rsidRPr="008E1CAD">
        <w:rPr>
          <w:rFonts w:cs="Times New Roman"/>
        </w:rPr>
        <w:t xml:space="preserve"> flowchart</w:t>
      </w:r>
    </w:p>
    <w:p w14:paraId="5968C140" w14:textId="0FB247C5" w:rsidR="00907E93" w:rsidRDefault="00F631E1" w:rsidP="00AA719D">
      <w:pPr>
        <w:rPr>
          <w:rFonts w:ascii="Times New Roman" w:hAnsi="Times New Roman" w:cs="Times New Roman"/>
        </w:rPr>
      </w:pPr>
      <w:r w:rsidRPr="00F631E1">
        <w:rPr>
          <w:rFonts w:ascii="Times New Roman" w:eastAsia="Times New Roman" w:hAnsi="Times New Roman" w:cs="Times New Roman"/>
        </w:rPr>
        <w:t>A total of 280 unique studies met the eligibility criteria and were included in the final evidence synthesis. Individual studies could contribute data to more than one model-parameter category; therefore, the category-specific study counts were not mutually exclusive and their sum exceeded the number of unique included studies.</w:t>
      </w:r>
    </w:p>
    <w:p w14:paraId="521D9554" w14:textId="77777777" w:rsidR="001C4E2F" w:rsidRDefault="001C4E2F">
      <w:pPr>
        <w:jc w:val="center"/>
        <w:rPr>
          <w:rFonts w:ascii="Times New Roman" w:hAnsi="Times New Roman" w:cs="Times New Roman"/>
        </w:rPr>
      </w:pPr>
    </w:p>
    <w:p w14:paraId="1998832D" w14:textId="77777777" w:rsidR="001C4E2F" w:rsidRDefault="001C4E2F">
      <w:pPr>
        <w:spacing w:after="200" w:line="276" w:lineRule="auto"/>
        <w:rPr>
          <w:rFonts w:ascii="Times New Roman" w:eastAsia="Times New Roman" w:hAnsi="Times New Roman" w:cs="Times New Roman"/>
          <w:b/>
          <w:i/>
          <w:sz w:val="18"/>
        </w:rPr>
      </w:pPr>
      <w:r>
        <w:rPr>
          <w:rFonts w:ascii="Times New Roman" w:eastAsia="Times New Roman" w:hAnsi="Times New Roman" w:cs="Times New Roman"/>
          <w:b/>
          <w:i/>
          <w:sz w:val="18"/>
        </w:rPr>
        <w:br w:type="page"/>
      </w:r>
    </w:p>
    <w:p w14:paraId="42EC27CF" w14:textId="10E76EF6" w:rsidR="001C4E2F" w:rsidRDefault="001C4E2F" w:rsidP="001C4E2F">
      <w:pPr>
        <w:spacing w:after="240"/>
        <w:jc w:val="center"/>
        <w:rPr>
          <w:rFonts w:ascii="Times New Roman" w:eastAsia="Times New Roman" w:hAnsi="Times New Roman" w:cs="Times New Roman"/>
          <w:i/>
          <w:sz w:val="18"/>
        </w:rPr>
      </w:pPr>
      <w:r w:rsidRPr="008E1CAD">
        <w:rPr>
          <w:rFonts w:ascii="Times New Roman" w:eastAsia="Times New Roman" w:hAnsi="Times New Roman" w:cs="Times New Roman"/>
          <w:b/>
          <w:i/>
          <w:sz w:val="18"/>
        </w:rPr>
        <w:lastRenderedPageBreak/>
        <w:t xml:space="preserve">Figure S1. </w:t>
      </w:r>
      <w:r w:rsidRPr="008E1CAD">
        <w:rPr>
          <w:rFonts w:ascii="Times New Roman" w:eastAsia="Times New Roman" w:hAnsi="Times New Roman" w:cs="Times New Roman"/>
          <w:i/>
          <w:sz w:val="18"/>
        </w:rPr>
        <w:t>PRISMA flowchart of the systematic literature review screening process.</w:t>
      </w:r>
    </w:p>
    <w:p w14:paraId="5D28550A" w14:textId="6C3BEDC5" w:rsidR="00F451BB" w:rsidRPr="008E1CAD" w:rsidRDefault="00F451BB">
      <w:pPr>
        <w:jc w:val="center"/>
        <w:rPr>
          <w:rFonts w:ascii="Times New Roman" w:hAnsi="Times New Roman" w:cs="Times New Roman"/>
        </w:rPr>
      </w:pPr>
      <w:r>
        <w:rPr>
          <w:rFonts w:ascii="Times New Roman" w:hAnsi="Times New Roman" w:cs="Times New Roman" w:hint="eastAsia"/>
          <w:noProof/>
        </w:rPr>
        <w:drawing>
          <wp:inline distT="0" distB="0" distL="0" distR="0" wp14:anchorId="166E3BC6" wp14:editId="1E24E909">
            <wp:extent cx="4540447" cy="5055169"/>
            <wp:effectExtent l="0" t="0" r="0" b="0"/>
            <wp:docPr id="11597894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89403" name="图片 1"/>
                    <pic:cNvPicPr/>
                  </pic:nvPicPr>
                  <pic:blipFill>
                    <a:blip r:embed="rId8"/>
                    <a:srcRect t="3256" b="3256"/>
                    <a:stretch>
                      <a:fillRect/>
                    </a:stretch>
                  </pic:blipFill>
                  <pic:spPr bwMode="auto">
                    <a:xfrm>
                      <a:off x="0" y="0"/>
                      <a:ext cx="4540447" cy="5055169"/>
                    </a:xfrm>
                    <a:prstGeom prst="rect">
                      <a:avLst/>
                    </a:prstGeom>
                    <a:ln>
                      <a:noFill/>
                    </a:ln>
                    <a:extLst>
                      <a:ext uri="{53640926-AAD7-44D8-BBD7-CCE9431645EC}">
                        <a14:shadowObscured xmlns:a14="http://schemas.microsoft.com/office/drawing/2010/main"/>
                      </a:ext>
                    </a:extLst>
                  </pic:spPr>
                </pic:pic>
              </a:graphicData>
            </a:graphic>
          </wp:inline>
        </w:drawing>
      </w:r>
    </w:p>
    <w:p w14:paraId="7A6554CB" w14:textId="4577F8BA" w:rsidR="00F631E1" w:rsidRPr="00F631E1" w:rsidRDefault="00F451BB" w:rsidP="00F631E1">
      <w:pPr>
        <w:rPr>
          <w:rFonts w:ascii="Times New Roman" w:hAnsi="Times New Roman"/>
          <w:iCs/>
          <w:sz w:val="18"/>
        </w:rPr>
      </w:pPr>
      <w:r w:rsidRPr="00AA719D">
        <w:rPr>
          <w:rFonts w:ascii="Times New Roman" w:hAnsi="Times New Roman"/>
          <w:iCs/>
          <w:sz w:val="18"/>
        </w:rPr>
        <w:t xml:space="preserve">Note: </w:t>
      </w:r>
      <w:r w:rsidR="00F631E1" w:rsidRPr="00F631E1">
        <w:rPr>
          <w:rFonts w:ascii="Times New Roman" w:hAnsi="Times New Roman"/>
          <w:iCs/>
          <w:sz w:val="18"/>
        </w:rPr>
        <w:t xml:space="preserve">*Individual studies could contribute evidence to more than one parameter category; therefore, the category-specific study counts are not mutually exclusive, and n = 280 represents the number of unique studies included in the final synthesis.  </w:t>
      </w:r>
    </w:p>
    <w:p w14:paraId="1C72E5C3" w14:textId="77777777" w:rsidR="00F631E1" w:rsidRPr="00F631E1" w:rsidRDefault="00F631E1" w:rsidP="00F631E1">
      <w:pPr>
        <w:rPr>
          <w:rFonts w:ascii="Times New Roman" w:hAnsi="Times New Roman"/>
          <w:iCs/>
          <w:sz w:val="18"/>
        </w:rPr>
      </w:pPr>
      <w:r w:rsidRPr="00F631E1">
        <w:rPr>
          <w:rFonts w:ascii="Times New Roman" w:hAnsi="Times New Roman"/>
          <w:iCs/>
          <w:sz w:val="18"/>
        </w:rPr>
        <w:t>Structured according to the PRISMA 2020 statement.</w:t>
      </w:r>
    </w:p>
    <w:p w14:paraId="4D94CF1A" w14:textId="7EE5209C" w:rsidR="00F451BB" w:rsidRPr="00F451BB" w:rsidRDefault="00F631E1" w:rsidP="00AA719D">
      <w:pPr>
        <w:rPr>
          <w:rFonts w:ascii="Times New Roman" w:hAnsi="Times New Roman" w:cs="Times New Roman"/>
          <w:iCs/>
        </w:rPr>
      </w:pPr>
      <w:r w:rsidRPr="00F631E1">
        <w:rPr>
          <w:rFonts w:ascii="Times New Roman" w:hAnsi="Times New Roman"/>
          <w:iCs/>
          <w:sz w:val="18"/>
        </w:rPr>
        <w:t>Source: Page MJ, et al. BMJ. 2021;372:n71.</w:t>
      </w:r>
    </w:p>
    <w:p w14:paraId="544605A6" w14:textId="0B8C6550" w:rsidR="00907E93" w:rsidRPr="008E1CAD" w:rsidRDefault="00000000" w:rsidP="00DB2FAD">
      <w:pPr>
        <w:pStyle w:val="21"/>
        <w:rPr>
          <w:rFonts w:cs="Times New Roman"/>
        </w:rPr>
      </w:pPr>
      <w:r w:rsidRPr="008E1CAD">
        <w:rPr>
          <w:rFonts w:cs="Times New Roman"/>
        </w:rPr>
        <w:t xml:space="preserve">1.4 Evidence </w:t>
      </w:r>
      <w:r w:rsidR="00586316" w:rsidRPr="008E1CAD">
        <w:rPr>
          <w:rFonts w:cs="Times New Roman"/>
        </w:rPr>
        <w:t>s</w:t>
      </w:r>
      <w:r w:rsidRPr="008E1CAD">
        <w:rPr>
          <w:rFonts w:cs="Times New Roman"/>
        </w:rPr>
        <w:t xml:space="preserve">ynthesis and </w:t>
      </w:r>
      <w:r w:rsidR="00586316" w:rsidRPr="008E1CAD">
        <w:rPr>
          <w:rFonts w:cs="Times New Roman"/>
        </w:rPr>
        <w:t>m</w:t>
      </w:r>
      <w:r w:rsidRPr="008E1CAD">
        <w:rPr>
          <w:rFonts w:cs="Times New Roman"/>
        </w:rPr>
        <w:t>eta-</w:t>
      </w:r>
      <w:r w:rsidR="00586316" w:rsidRPr="008E1CAD">
        <w:rPr>
          <w:rFonts w:cs="Times New Roman"/>
        </w:rPr>
        <w:t>a</w:t>
      </w:r>
      <w:r w:rsidRPr="008E1CAD">
        <w:rPr>
          <w:rFonts w:cs="Times New Roman"/>
        </w:rPr>
        <w:t xml:space="preserve">nalysis </w:t>
      </w:r>
      <w:r w:rsidR="00586316" w:rsidRPr="008E1CAD">
        <w:rPr>
          <w:rFonts w:cs="Times New Roman"/>
        </w:rPr>
        <w:t>m</w:t>
      </w:r>
      <w:r w:rsidRPr="008E1CAD">
        <w:rPr>
          <w:rFonts w:cs="Times New Roman"/>
        </w:rPr>
        <w:t>ethodology</w:t>
      </w:r>
    </w:p>
    <w:p w14:paraId="0CE00B8F" w14:textId="46F0FFF6" w:rsidR="00C47532" w:rsidRPr="008E1CAD" w:rsidRDefault="00C47532" w:rsidP="00C47532">
      <w:pPr>
        <w:spacing w:after="120"/>
        <w:rPr>
          <w:rFonts w:ascii="Times New Roman" w:hAnsi="Times New Roman" w:cs="Times New Roman"/>
        </w:rPr>
      </w:pPr>
      <w:r w:rsidRPr="008E1CAD">
        <w:rPr>
          <w:rFonts w:ascii="Times New Roman" w:hAnsi="Times New Roman" w:cs="Times New Roman"/>
        </w:rPr>
        <w:t>For parameters informed by a single publication, the reported point estimate was used directly. When multiple independent studies reported the same parameter, a single-arm meta-analysis was performed. Random-effects models were prespecified because clinical and methodological heterogeneity was expected across observational studies conducted in different countries, healthcare settings, treatment lines, and study periods. Potential sources of heterogeneity included differences in baseline age and frailty, prior treatment exposure, regimen implementation, follow-up duration, outcome definitions, and treatment-discontinuation practices.</w:t>
      </w:r>
    </w:p>
    <w:p w14:paraId="0A2812DE" w14:textId="57B6CF79" w:rsidR="00C47532" w:rsidRPr="008E1CAD" w:rsidRDefault="00C47532" w:rsidP="00C47532">
      <w:pPr>
        <w:spacing w:after="120"/>
        <w:rPr>
          <w:rFonts w:ascii="Times New Roman" w:hAnsi="Times New Roman" w:cs="Times New Roman"/>
        </w:rPr>
      </w:pPr>
      <w:r w:rsidRPr="008E1CAD">
        <w:rPr>
          <w:rFonts w:ascii="Times New Roman" w:hAnsi="Times New Roman" w:cs="Times New Roman"/>
        </w:rPr>
        <w:t xml:space="preserve">Statistical heterogeneity was evaluated using the I² statistic, between-study variance (τ²), and Cochran’s Q where sufficient studies and data were available. For studies reporting point estimates without sufficient variance information, sample-size-weighted averages were used; formal heterogeneity statistics could not be estimated for these weighted summaries. Statistical analyses were conducted using R version </w:t>
      </w:r>
      <w:r w:rsidRPr="008E1CAD">
        <w:rPr>
          <w:rFonts w:ascii="Times New Roman" w:hAnsi="Times New Roman" w:cs="Times New Roman"/>
        </w:rPr>
        <w:lastRenderedPageBreak/>
        <w:t xml:space="preserve">4.3.1, and pooled estimates are presented with 95% confidence intervals </w:t>
      </w:r>
      <w:r w:rsidRPr="008E1CAD">
        <w:rPr>
          <w:rFonts w:ascii="Times New Roman" w:eastAsia="Times New Roman" w:hAnsi="Times New Roman" w:cs="Times New Roman"/>
        </w:rPr>
        <w:t xml:space="preserve">(95% CIs) </w:t>
      </w:r>
      <w:r w:rsidRPr="008E1CAD">
        <w:rPr>
          <w:rFonts w:ascii="Times New Roman" w:hAnsi="Times New Roman" w:cs="Times New Roman"/>
        </w:rPr>
        <w:t>where available.</w:t>
      </w:r>
    </w:p>
    <w:p w14:paraId="154F976A" w14:textId="3E687EAE" w:rsidR="00C47532" w:rsidRPr="008E1CAD" w:rsidRDefault="00C47532" w:rsidP="00C47532">
      <w:pPr>
        <w:spacing w:after="120"/>
        <w:rPr>
          <w:rFonts w:ascii="Times New Roman" w:hAnsi="Times New Roman" w:cs="Times New Roman"/>
        </w:rPr>
      </w:pPr>
      <w:r w:rsidRPr="008E1CAD">
        <w:rPr>
          <w:rFonts w:ascii="Times New Roman" w:hAnsi="Times New Roman" w:cs="Times New Roman"/>
        </w:rPr>
        <w:t>To improve transferability to the Chinese setting, evidence was restricted by parameter type. Demographic, treatment-pattern, and cost inputs were derived from mainland Chinese studies, while subsequent-line clinical, safety, and utility inputs were primarily derived from East Asian studies. International evidence was used only in targeted supplementary searches when relevant Asian evidence was insufficient. Studies were also assessed using the Newcastle–Ottawa Scale, and low-quality studies were excluded. Nevertheless, these restrictions and random-effects analyses cannot eliminate heterogeneity, residual confounding, or differences in clinical practice across the included studies.</w:t>
      </w:r>
    </w:p>
    <w:p w14:paraId="79B248EA" w14:textId="2DC6D6AC" w:rsidR="00907E93" w:rsidRPr="008E1CAD" w:rsidRDefault="00000000" w:rsidP="00DB2FAD">
      <w:pPr>
        <w:pStyle w:val="21"/>
        <w:rPr>
          <w:rFonts w:cs="Times New Roman"/>
        </w:rPr>
      </w:pPr>
      <w:r w:rsidRPr="008E1CAD">
        <w:rPr>
          <w:rFonts w:cs="Times New Roman"/>
        </w:rPr>
        <w:t xml:space="preserve">1.5 Primary </w:t>
      </w:r>
      <w:r w:rsidR="00586316" w:rsidRPr="008E1CAD">
        <w:rPr>
          <w:rFonts w:cs="Times New Roman"/>
        </w:rPr>
        <w:t>parameter meta-analysis estimates</w:t>
      </w:r>
    </w:p>
    <w:p w14:paraId="47A43D68" w14:textId="545875A9" w:rsidR="00907E93" w:rsidRPr="008E1CAD" w:rsidRDefault="00000000" w:rsidP="00DB2FAD">
      <w:pPr>
        <w:pStyle w:val="31"/>
        <w:rPr>
          <w:rFonts w:cs="Times New Roman"/>
        </w:rPr>
      </w:pPr>
      <w:r w:rsidRPr="008E1CAD">
        <w:rPr>
          <w:rFonts w:cs="Times New Roman"/>
        </w:rPr>
        <w:t>1.5.</w:t>
      </w:r>
      <w:r w:rsidR="00717A20" w:rsidRPr="008E1CAD">
        <w:rPr>
          <w:rFonts w:cs="Times New Roman"/>
        </w:rPr>
        <w:t>1</w:t>
      </w:r>
      <w:r w:rsidRPr="008E1CAD">
        <w:rPr>
          <w:rFonts w:cs="Times New Roman"/>
        </w:rPr>
        <w:t xml:space="preserve"> Front-</w:t>
      </w:r>
      <w:r w:rsidR="00F46860" w:rsidRPr="008E1CAD">
        <w:rPr>
          <w:rFonts w:cs="Times New Roman"/>
        </w:rPr>
        <w:t xml:space="preserve">line treatment discontinuation </w:t>
      </w:r>
      <w:r w:rsidR="0016552D" w:rsidRPr="008E1CAD">
        <w:rPr>
          <w:rFonts w:cs="Times New Roman"/>
        </w:rPr>
        <w:t>risk</w:t>
      </w:r>
      <w:r w:rsidR="00F46860" w:rsidRPr="008E1CAD">
        <w:rPr>
          <w:rFonts w:cs="Times New Roman"/>
        </w:rPr>
        <w:t>s</w:t>
      </w:r>
    </w:p>
    <w:p w14:paraId="02D49720" w14:textId="77777777"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The monthly risk of treatment discontinuation during continuous maintenance therapy was pooled from the literature:</w:t>
      </w:r>
    </w:p>
    <w:p w14:paraId="30B66005" w14:textId="2CF1EB1A" w:rsidR="00907E93" w:rsidRPr="008E1CAD" w:rsidRDefault="00000000" w:rsidP="00171205">
      <w:pPr>
        <w:pStyle w:val="ae"/>
        <w:numPr>
          <w:ilvl w:val="0"/>
          <w:numId w:val="13"/>
        </w:numPr>
        <w:spacing w:before="40" w:after="60"/>
        <w:rPr>
          <w:rFonts w:ascii="Times New Roman" w:hAnsi="Times New Roman" w:cs="Times New Roman"/>
        </w:rPr>
      </w:pPr>
      <w:r w:rsidRPr="008E1CAD">
        <w:rPr>
          <w:rFonts w:ascii="Times New Roman" w:eastAsia="Times New Roman" w:hAnsi="Times New Roman" w:cs="Times New Roman"/>
          <w:b/>
        </w:rPr>
        <w:t xml:space="preserve">iCT IRd </w:t>
      </w:r>
      <w:r w:rsidR="00F46860" w:rsidRPr="008E1CAD">
        <w:rPr>
          <w:rFonts w:ascii="Times New Roman" w:eastAsia="Times New Roman" w:hAnsi="Times New Roman" w:cs="Times New Roman"/>
          <w:b/>
        </w:rPr>
        <w:t>c</w:t>
      </w:r>
      <w:r w:rsidRPr="008E1CAD">
        <w:rPr>
          <w:rFonts w:ascii="Times New Roman" w:eastAsia="Times New Roman" w:hAnsi="Times New Roman" w:cs="Times New Roman"/>
          <w:b/>
        </w:rPr>
        <w:t xml:space="preserve">ontinuous </w:t>
      </w:r>
      <w:r w:rsidR="00F46860" w:rsidRPr="008E1CAD">
        <w:rPr>
          <w:rFonts w:ascii="Times New Roman" w:eastAsia="Times New Roman" w:hAnsi="Times New Roman" w:cs="Times New Roman"/>
          <w:b/>
        </w:rPr>
        <w:t>p</w:t>
      </w:r>
      <w:r w:rsidRPr="008E1CAD">
        <w:rPr>
          <w:rFonts w:ascii="Times New Roman" w:eastAsia="Times New Roman" w:hAnsi="Times New Roman" w:cs="Times New Roman"/>
          <w:b/>
        </w:rPr>
        <w:t xml:space="preserve">hase: </w:t>
      </w:r>
      <w:r w:rsidRPr="008E1CAD">
        <w:rPr>
          <w:rFonts w:ascii="Times New Roman" w:eastAsia="Times New Roman" w:hAnsi="Times New Roman" w:cs="Times New Roman"/>
        </w:rPr>
        <w:t xml:space="preserve">Synthesized from 2 independent real-world cohorts (Liu 2024, Rifkin 2023), yielding a pooled monthly discontinuation risk of </w:t>
      </w:r>
      <w:r w:rsidRPr="008E1CAD">
        <w:rPr>
          <w:rFonts w:ascii="Times New Roman" w:eastAsia="Times New Roman" w:hAnsi="Times New Roman" w:cs="Times New Roman"/>
          <w:b/>
        </w:rPr>
        <w:t>0.043</w:t>
      </w:r>
      <w:r w:rsidRPr="008E1CAD">
        <w:rPr>
          <w:rFonts w:ascii="Times New Roman" w:eastAsia="Times New Roman" w:hAnsi="Times New Roman" w:cs="Times New Roman"/>
        </w:rPr>
        <w:t xml:space="preserve"> (95% CI: 0.026</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0.071).</w:t>
      </w:r>
    </w:p>
    <w:p w14:paraId="5F8E7EE7" w14:textId="57D50E2C" w:rsidR="00907E93" w:rsidRPr="008E1CAD" w:rsidRDefault="00000000" w:rsidP="00171205">
      <w:pPr>
        <w:pStyle w:val="ae"/>
        <w:numPr>
          <w:ilvl w:val="0"/>
          <w:numId w:val="13"/>
        </w:numPr>
        <w:spacing w:before="40" w:after="60"/>
        <w:rPr>
          <w:rFonts w:ascii="Times New Roman" w:eastAsia="Times New Roman" w:hAnsi="Times New Roman" w:cs="Times New Roman"/>
        </w:rPr>
      </w:pPr>
      <w:r w:rsidRPr="008E1CAD">
        <w:rPr>
          <w:rFonts w:ascii="Times New Roman" w:eastAsia="Times New Roman" w:hAnsi="Times New Roman" w:cs="Times New Roman"/>
          <w:b/>
        </w:rPr>
        <w:t xml:space="preserve">DRd </w:t>
      </w:r>
      <w:r w:rsidR="00F46860" w:rsidRPr="008E1CAD">
        <w:rPr>
          <w:rFonts w:ascii="Times New Roman" w:eastAsia="Times New Roman" w:hAnsi="Times New Roman" w:cs="Times New Roman"/>
          <w:b/>
        </w:rPr>
        <w:t>c</w:t>
      </w:r>
      <w:r w:rsidRPr="008E1CAD">
        <w:rPr>
          <w:rFonts w:ascii="Times New Roman" w:eastAsia="Times New Roman" w:hAnsi="Times New Roman" w:cs="Times New Roman"/>
          <w:b/>
        </w:rPr>
        <w:t xml:space="preserve">ontinuous </w:t>
      </w:r>
      <w:r w:rsidR="00F46860" w:rsidRPr="008E1CAD">
        <w:rPr>
          <w:rFonts w:ascii="Times New Roman" w:eastAsia="Times New Roman" w:hAnsi="Times New Roman" w:cs="Times New Roman"/>
          <w:b/>
        </w:rPr>
        <w:t>p</w:t>
      </w:r>
      <w:r w:rsidRPr="008E1CAD">
        <w:rPr>
          <w:rFonts w:ascii="Times New Roman" w:eastAsia="Times New Roman" w:hAnsi="Times New Roman" w:cs="Times New Roman"/>
          <w:b/>
        </w:rPr>
        <w:t xml:space="preserve">hase: </w:t>
      </w:r>
      <w:r w:rsidRPr="008E1CAD">
        <w:rPr>
          <w:rFonts w:ascii="Times New Roman" w:eastAsia="Times New Roman" w:hAnsi="Times New Roman" w:cs="Times New Roman"/>
        </w:rPr>
        <w:t xml:space="preserve">Synthesized from 3 independent real-world cohorts (Gordan 2024, Hansen 2023, Tai 2021), yielding a pooled monthly discontinuation risk of </w:t>
      </w:r>
      <w:r w:rsidRPr="008E1CAD">
        <w:rPr>
          <w:rFonts w:ascii="Times New Roman" w:eastAsia="Times New Roman" w:hAnsi="Times New Roman" w:cs="Times New Roman"/>
          <w:b/>
        </w:rPr>
        <w:t>0.055</w:t>
      </w:r>
      <w:r w:rsidRPr="008E1CAD">
        <w:rPr>
          <w:rFonts w:ascii="Times New Roman" w:eastAsia="Times New Roman" w:hAnsi="Times New Roman" w:cs="Times New Roman"/>
        </w:rPr>
        <w:t xml:space="preserve"> (95% CI: 0.037</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0.081).</w:t>
      </w:r>
    </w:p>
    <w:p w14:paraId="3E652855" w14:textId="77777777" w:rsidR="00F03650" w:rsidRPr="008E1CAD" w:rsidRDefault="00F03650">
      <w:pPr>
        <w:spacing w:before="40" w:after="60"/>
        <w:ind w:left="720" w:hanging="357"/>
        <w:rPr>
          <w:rFonts w:ascii="Times New Roman" w:hAnsi="Times New Roman" w:cs="Times New Roman"/>
        </w:rPr>
      </w:pPr>
    </w:p>
    <w:p w14:paraId="78A741A6" w14:textId="69866327" w:rsidR="00907E93" w:rsidRPr="008E1CAD" w:rsidRDefault="00000000">
      <w:pPr>
        <w:spacing w:before="160" w:after="120"/>
        <w:rPr>
          <w:rFonts w:ascii="Times New Roman" w:eastAsia="Times New Roman" w:hAnsi="Times New Roman" w:cs="Times New Roman"/>
          <w:i/>
          <w:sz w:val="18"/>
        </w:rPr>
      </w:pPr>
      <w:r w:rsidRPr="008E1CAD">
        <w:rPr>
          <w:rFonts w:ascii="Times New Roman" w:eastAsia="Times New Roman" w:hAnsi="Times New Roman" w:cs="Times New Roman"/>
          <w:b/>
          <w:i/>
          <w:sz w:val="18"/>
        </w:rPr>
        <w:t xml:space="preserve">Figure S2. </w:t>
      </w:r>
      <w:r w:rsidRPr="008E1CAD">
        <w:rPr>
          <w:rFonts w:ascii="Times New Roman" w:eastAsia="Times New Roman" w:hAnsi="Times New Roman" w:cs="Times New Roman"/>
          <w:i/>
          <w:sz w:val="18"/>
        </w:rPr>
        <w:t xml:space="preserve">Forest </w:t>
      </w:r>
      <w:r w:rsidR="00F46860" w:rsidRPr="008E1CAD">
        <w:rPr>
          <w:rFonts w:ascii="Times New Roman" w:eastAsia="Times New Roman" w:hAnsi="Times New Roman" w:cs="Times New Roman"/>
          <w:i/>
          <w:sz w:val="18"/>
        </w:rPr>
        <w:t>plot of single-arm meta-analysis for iCT IRd monthly discontinuation risk</w:t>
      </w:r>
    </w:p>
    <w:p w14:paraId="72B29E8D" w14:textId="26985051" w:rsidR="00DB2FAD" w:rsidRPr="008E1CAD" w:rsidRDefault="005E2E92" w:rsidP="00AA719D">
      <w:pPr>
        <w:spacing w:before="160" w:after="120"/>
        <w:ind w:leftChars="-295" w:left="-708"/>
        <w:rPr>
          <w:rFonts w:ascii="Times New Roman" w:hAnsi="Times New Roman" w:cs="Times New Roman"/>
        </w:rPr>
      </w:pPr>
      <w:r>
        <w:rPr>
          <w:rFonts w:ascii="Times New Roman" w:hAnsi="Times New Roman" w:cs="Times New Roman"/>
          <w:noProof/>
        </w:rPr>
        <w:drawing>
          <wp:inline distT="0" distB="0" distL="0" distR="0" wp14:anchorId="23B2953B" wp14:editId="29FD6D50">
            <wp:extent cx="6386202" cy="1289785"/>
            <wp:effectExtent l="0" t="0" r="1905" b="5715"/>
            <wp:docPr id="7750770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077083" name="图片 1"/>
                    <pic:cNvPicPr/>
                  </pic:nvPicPr>
                  <pic:blipFill>
                    <a:blip r:embed="rId9"/>
                    <a:srcRect t="3316" b="3316"/>
                    <a:stretch>
                      <a:fillRect/>
                    </a:stretch>
                  </pic:blipFill>
                  <pic:spPr bwMode="auto">
                    <a:xfrm>
                      <a:off x="0" y="0"/>
                      <a:ext cx="6448143" cy="1302295"/>
                    </a:xfrm>
                    <a:prstGeom prst="rect">
                      <a:avLst/>
                    </a:prstGeom>
                    <a:ln>
                      <a:noFill/>
                    </a:ln>
                    <a:extLst>
                      <a:ext uri="{53640926-AAD7-44D8-BBD7-CCE9431645EC}">
                        <a14:shadowObscured xmlns:a14="http://schemas.microsoft.com/office/drawing/2010/main"/>
                      </a:ext>
                    </a:extLst>
                  </pic:spPr>
                </pic:pic>
              </a:graphicData>
            </a:graphic>
          </wp:inline>
        </w:drawing>
      </w:r>
    </w:p>
    <w:p w14:paraId="363135F4" w14:textId="77777777" w:rsidR="005E2E92" w:rsidRDefault="005E2E92">
      <w:pPr>
        <w:spacing w:before="160" w:after="120"/>
        <w:rPr>
          <w:rFonts w:ascii="Times New Roman" w:eastAsia="Times New Roman" w:hAnsi="Times New Roman" w:cs="Times New Roman"/>
          <w:b/>
          <w:i/>
          <w:sz w:val="18"/>
        </w:rPr>
      </w:pPr>
    </w:p>
    <w:p w14:paraId="256C54F4" w14:textId="25EAA7B9" w:rsidR="00907E93" w:rsidRPr="008E1CAD" w:rsidRDefault="00000000">
      <w:pPr>
        <w:spacing w:before="160" w:after="120"/>
        <w:rPr>
          <w:rFonts w:ascii="Times New Roman" w:eastAsia="Times New Roman" w:hAnsi="Times New Roman" w:cs="Times New Roman"/>
          <w:i/>
          <w:sz w:val="18"/>
        </w:rPr>
      </w:pPr>
      <w:r w:rsidRPr="008E1CAD">
        <w:rPr>
          <w:rFonts w:ascii="Times New Roman" w:eastAsia="Times New Roman" w:hAnsi="Times New Roman" w:cs="Times New Roman"/>
          <w:b/>
          <w:i/>
          <w:sz w:val="18"/>
        </w:rPr>
        <w:t xml:space="preserve">Figure S3. </w:t>
      </w:r>
      <w:r w:rsidRPr="008E1CAD">
        <w:rPr>
          <w:rFonts w:ascii="Times New Roman" w:eastAsia="Times New Roman" w:hAnsi="Times New Roman" w:cs="Times New Roman"/>
          <w:i/>
          <w:sz w:val="18"/>
        </w:rPr>
        <w:t>Forest</w:t>
      </w:r>
      <w:r w:rsidR="00F46860" w:rsidRPr="008E1CAD">
        <w:rPr>
          <w:rFonts w:ascii="Times New Roman" w:eastAsia="Times New Roman" w:hAnsi="Times New Roman" w:cs="Times New Roman"/>
          <w:i/>
          <w:sz w:val="18"/>
        </w:rPr>
        <w:t xml:space="preserve"> plot of single-arm meta-analysis for DRd monthly discontinuation risk</w:t>
      </w:r>
    </w:p>
    <w:p w14:paraId="0F23D11F" w14:textId="3C4E05FF" w:rsidR="00DB2FAD" w:rsidRPr="008E1CAD" w:rsidRDefault="005E2E92" w:rsidP="00AA719D">
      <w:pPr>
        <w:spacing w:before="160" w:after="120"/>
        <w:ind w:leftChars="-295" w:left="-708"/>
        <w:rPr>
          <w:rFonts w:ascii="Times New Roman" w:hAnsi="Times New Roman" w:cs="Times New Roman"/>
        </w:rPr>
      </w:pPr>
      <w:r>
        <w:rPr>
          <w:rFonts w:ascii="Times New Roman" w:hAnsi="Times New Roman" w:cs="Times New Roman"/>
          <w:noProof/>
        </w:rPr>
        <w:drawing>
          <wp:inline distT="0" distB="0" distL="0" distR="0" wp14:anchorId="34B16C1B" wp14:editId="4115DAE1">
            <wp:extent cx="6380632" cy="1366788"/>
            <wp:effectExtent l="0" t="0" r="0" b="5080"/>
            <wp:docPr id="20151797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79792" name="图片 2"/>
                    <pic:cNvPicPr/>
                  </pic:nvPicPr>
                  <pic:blipFill rotWithShape="1">
                    <a:blip r:embed="rId10"/>
                    <a:srcRect l="5711" t="22139" b="7528"/>
                    <a:stretch>
                      <a:fillRect/>
                    </a:stretch>
                  </pic:blipFill>
                  <pic:spPr bwMode="auto">
                    <a:xfrm>
                      <a:off x="0" y="0"/>
                      <a:ext cx="6382800" cy="1367252"/>
                    </a:xfrm>
                    <a:prstGeom prst="rect">
                      <a:avLst/>
                    </a:prstGeom>
                    <a:ln>
                      <a:noFill/>
                    </a:ln>
                    <a:extLst>
                      <a:ext uri="{53640926-AAD7-44D8-BBD7-CCE9431645EC}">
                        <a14:shadowObscured xmlns:a14="http://schemas.microsoft.com/office/drawing/2010/main"/>
                      </a:ext>
                    </a:extLst>
                  </pic:spPr>
                </pic:pic>
              </a:graphicData>
            </a:graphic>
          </wp:inline>
        </w:drawing>
      </w:r>
    </w:p>
    <w:p w14:paraId="39976552" w14:textId="495511FE" w:rsidR="00717A20" w:rsidRPr="008E1CAD" w:rsidRDefault="00C47532">
      <w:pPr>
        <w:spacing w:before="160" w:after="120"/>
        <w:rPr>
          <w:rFonts w:ascii="Times New Roman" w:hAnsi="Times New Roman" w:cs="Times New Roman"/>
        </w:rPr>
      </w:pPr>
      <w:r w:rsidRPr="008E1CAD">
        <w:rPr>
          <w:rFonts w:ascii="Times New Roman" w:hAnsi="Times New Roman" w:cs="Times New Roman"/>
        </w:rPr>
        <w:t xml:space="preserve">Statistical heterogeneity was low to moderate for the iCT IRd discontinuation-risk meta-analysis (I² = 42%, τ² = 0, p = 0.19) and was not detected for the DRd analysis (I² = 0%, τ² = 0, p = 0.44). However, these analyses included only two iCT IRd </w:t>
      </w:r>
      <w:r w:rsidRPr="008E1CAD">
        <w:rPr>
          <w:rFonts w:ascii="Times New Roman" w:hAnsi="Times New Roman" w:cs="Times New Roman"/>
        </w:rPr>
        <w:lastRenderedPageBreak/>
        <w:t>cohorts and three DRd cohorts. With such small numbers of studies, heterogeneity tests have limited power, and the absence of statistically detected heterogeneity should not be interpreted as evidence that the studies were clinically homogeneous.</w:t>
      </w:r>
    </w:p>
    <w:p w14:paraId="34EFC77F" w14:textId="4A13610C" w:rsidR="00907E93" w:rsidRPr="008E1CAD" w:rsidRDefault="00000000" w:rsidP="00DB2FAD">
      <w:pPr>
        <w:pStyle w:val="31"/>
        <w:rPr>
          <w:rFonts w:cs="Times New Roman"/>
        </w:rPr>
      </w:pPr>
      <w:r w:rsidRPr="008E1CAD">
        <w:rPr>
          <w:rFonts w:cs="Times New Roman"/>
        </w:rPr>
        <w:t>1.5.</w:t>
      </w:r>
      <w:r w:rsidR="00717A20" w:rsidRPr="008E1CAD">
        <w:rPr>
          <w:rFonts w:cs="Times New Roman"/>
        </w:rPr>
        <w:t>2</w:t>
      </w:r>
      <w:r w:rsidRPr="008E1CAD">
        <w:rPr>
          <w:rFonts w:cs="Times New Roman"/>
        </w:rPr>
        <w:t xml:space="preserve"> Proportional </w:t>
      </w:r>
      <w:r w:rsidR="00F46860" w:rsidRPr="008E1CAD">
        <w:rPr>
          <w:rFonts w:cs="Times New Roman"/>
        </w:rPr>
        <w:t>distribution of discontinuation reasons</w:t>
      </w:r>
    </w:p>
    <w:p w14:paraId="6DC531FC" w14:textId="23429508"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b/>
        </w:rPr>
        <w:t xml:space="preserve">iCT IRd: </w:t>
      </w:r>
      <w:r w:rsidRPr="008E1CAD">
        <w:rPr>
          <w:rFonts w:ascii="Times New Roman" w:eastAsia="Times New Roman" w:hAnsi="Times New Roman" w:cs="Times New Roman"/>
        </w:rPr>
        <w:t xml:space="preserve">Meta-analysis of 2 observational studies indicated that </w:t>
      </w:r>
      <w:r w:rsidRPr="008E1CAD">
        <w:rPr>
          <w:rFonts w:ascii="Times New Roman" w:eastAsia="Times New Roman" w:hAnsi="Times New Roman" w:cs="Times New Roman"/>
          <w:b/>
        </w:rPr>
        <w:t>26.0%</w:t>
      </w:r>
      <w:r w:rsidRPr="008E1CAD">
        <w:rPr>
          <w:rFonts w:ascii="Times New Roman" w:eastAsia="Times New Roman" w:hAnsi="Times New Roman" w:cs="Times New Roman"/>
        </w:rPr>
        <w:t xml:space="preserve"> (95% CI: 18.8%</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34.8%) of patients discontinued the continuous regimen due to disease progression</w:t>
      </w:r>
      <w:r w:rsidR="006348DA" w:rsidRPr="008E1CAD">
        <w:rPr>
          <w:rFonts w:ascii="Times New Roman" w:eastAsia="Times New Roman" w:hAnsi="Times New Roman" w:cs="Times New Roman"/>
        </w:rPr>
        <w:t xml:space="preserve"> (Liu 2024, Rifkin 2023)</w:t>
      </w:r>
      <w:r w:rsidRPr="008E1CAD">
        <w:rPr>
          <w:rFonts w:ascii="Times New Roman" w:eastAsia="Times New Roman" w:hAnsi="Times New Roman" w:cs="Times New Roman"/>
        </w:rPr>
        <w:t>.</w:t>
      </w:r>
    </w:p>
    <w:p w14:paraId="411B7FDA" w14:textId="4C5C0F06" w:rsidR="00907E93" w:rsidRPr="008E1CAD" w:rsidRDefault="00000000">
      <w:pPr>
        <w:spacing w:before="40" w:after="60"/>
        <w:ind w:left="720" w:hanging="357"/>
        <w:rPr>
          <w:rFonts w:ascii="Times New Roman" w:eastAsia="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b/>
        </w:rPr>
        <w:t xml:space="preserve">DRd: </w:t>
      </w:r>
      <w:r w:rsidRPr="008E1CAD">
        <w:rPr>
          <w:rFonts w:ascii="Times New Roman" w:eastAsia="Times New Roman" w:hAnsi="Times New Roman" w:cs="Times New Roman"/>
        </w:rPr>
        <w:t xml:space="preserve">Because front-line observational studies directly reporting the breakdown of discontinuation reasons for DRd </w:t>
      </w:r>
      <w:r w:rsidR="00171205" w:rsidRPr="008E1CAD">
        <w:rPr>
          <w:rFonts w:ascii="Times New Roman" w:eastAsia="Times New Roman" w:hAnsi="Times New Roman" w:cs="Times New Roman"/>
        </w:rPr>
        <w:t>were unavailable from the primary search</w:t>
      </w:r>
      <w:r w:rsidRPr="008E1CAD">
        <w:rPr>
          <w:rFonts w:ascii="Times New Roman" w:eastAsia="Times New Roman" w:hAnsi="Times New Roman" w:cs="Times New Roman"/>
        </w:rPr>
        <w:t xml:space="preserve">, </w:t>
      </w:r>
      <w:r w:rsidR="00171205" w:rsidRPr="008E1CAD">
        <w:rPr>
          <w:rFonts w:ascii="Times New Roman" w:eastAsia="Times New Roman" w:hAnsi="Times New Roman" w:cs="Times New Roman"/>
        </w:rPr>
        <w:t>a cross-line calibration approach was applied</w:t>
      </w:r>
      <w:r w:rsidRPr="008E1CAD">
        <w:rPr>
          <w:rFonts w:ascii="Times New Roman" w:eastAsia="Times New Roman" w:hAnsi="Times New Roman" w:cs="Times New Roman"/>
        </w:rPr>
        <w:t xml:space="preserve">. Real-world observational data (Han 2024) and clinical trial data (Suzuki 2018) for rrMM patients under DRd maintenance reported progression-related discontinuation fractions of 68.2% and 63.8%, respectively. This yielded an observational-to-trial adjustment scalar of 1.069. Applying this scalar to front-line clinical data from the MAIA trial (Facon 2021) </w:t>
      </w:r>
      <w:r w:rsidR="00171205" w:rsidRPr="008E1CAD">
        <w:rPr>
          <w:rFonts w:ascii="Times New Roman" w:eastAsia="Times New Roman" w:hAnsi="Times New Roman" w:cs="Times New Roman"/>
        </w:rPr>
        <w:t>estimated</w:t>
      </w:r>
      <w:r w:rsidRPr="008E1CAD">
        <w:rPr>
          <w:rFonts w:ascii="Times New Roman" w:eastAsia="Times New Roman" w:hAnsi="Times New Roman" w:cs="Times New Roman"/>
        </w:rPr>
        <w:t xml:space="preserve"> that </w:t>
      </w:r>
      <w:r w:rsidRPr="008E1CAD">
        <w:rPr>
          <w:rFonts w:ascii="Times New Roman" w:eastAsia="Times New Roman" w:hAnsi="Times New Roman" w:cs="Times New Roman"/>
          <w:b/>
        </w:rPr>
        <w:t>50.1%</w:t>
      </w:r>
      <w:r w:rsidRPr="008E1CAD">
        <w:rPr>
          <w:rFonts w:ascii="Times New Roman" w:eastAsia="Times New Roman" w:hAnsi="Times New Roman" w:cs="Times New Roman"/>
        </w:rPr>
        <w:t xml:space="preserve"> of front-line DRd discontinuations in routine practice </w:t>
      </w:r>
      <w:r w:rsidR="00171205" w:rsidRPr="008E1CAD">
        <w:rPr>
          <w:rFonts w:ascii="Times New Roman" w:eastAsia="Times New Roman" w:hAnsi="Times New Roman" w:cs="Times New Roman"/>
        </w:rPr>
        <w:t>were attributable to disease progression</w:t>
      </w:r>
      <w:r w:rsidRPr="008E1CAD">
        <w:rPr>
          <w:rFonts w:ascii="Times New Roman" w:eastAsia="Times New Roman" w:hAnsi="Times New Roman" w:cs="Times New Roman"/>
        </w:rPr>
        <w:t>.</w:t>
      </w:r>
    </w:p>
    <w:p w14:paraId="6400649A" w14:textId="0881F123" w:rsidR="00717A20" w:rsidRPr="008E1CAD" w:rsidRDefault="00717A20" w:rsidP="00717A20">
      <w:pPr>
        <w:pStyle w:val="31"/>
        <w:rPr>
          <w:rFonts w:cs="Times New Roman"/>
        </w:rPr>
      </w:pPr>
      <w:r w:rsidRPr="008E1CAD">
        <w:rPr>
          <w:rFonts w:cs="Times New Roman"/>
        </w:rPr>
        <w:t xml:space="preserve">1.5.3 </w:t>
      </w:r>
      <w:r w:rsidR="00F46860" w:rsidRPr="008E1CAD">
        <w:rPr>
          <w:rFonts w:cs="Times New Roman"/>
        </w:rPr>
        <w:t>Clinical efficacy (overall response rate) of induction therapies</w:t>
      </w:r>
    </w:p>
    <w:p w14:paraId="7E20576F" w14:textId="7B939581" w:rsidR="00717A20" w:rsidRPr="008E1CAD" w:rsidRDefault="00717A20" w:rsidP="00717A20">
      <w:pPr>
        <w:rPr>
          <w:rFonts w:ascii="Times New Roman" w:hAnsi="Times New Roman" w:cs="Times New Roman"/>
        </w:rPr>
      </w:pPr>
      <w:r w:rsidRPr="008E1CAD">
        <w:rPr>
          <w:rFonts w:ascii="Times New Roman" w:hAnsi="Times New Roman" w:cs="Times New Roman"/>
          <w:b/>
        </w:rPr>
        <w:t>Front-</w:t>
      </w:r>
      <w:r w:rsidR="00F46860" w:rsidRPr="008E1CAD">
        <w:rPr>
          <w:rFonts w:ascii="Times New Roman" w:hAnsi="Times New Roman" w:cs="Times New Roman"/>
          <w:b/>
        </w:rPr>
        <w:t>line induction regimen distribution</w:t>
      </w:r>
      <w:r w:rsidRPr="008E1CAD">
        <w:rPr>
          <w:rFonts w:ascii="Times New Roman" w:hAnsi="Times New Roman" w:cs="Times New Roman"/>
          <w:b/>
        </w:rPr>
        <w:t>:</w:t>
      </w:r>
      <w:r w:rsidRPr="008E1CAD">
        <w:rPr>
          <w:rFonts w:ascii="Times New Roman" w:hAnsi="Times New Roman" w:cs="Times New Roman"/>
        </w:rPr>
        <w:t xml:space="preserve"> Based on a sample-size weighted average analysis of 18 observational studies, the real-world utilization distribution of the five guideline-endorsed bortezomib-based (V-based) front-line induction regimens in China was </w:t>
      </w:r>
      <w:r w:rsidR="00171205" w:rsidRPr="008E1CAD">
        <w:rPr>
          <w:rFonts w:ascii="Times New Roman" w:hAnsi="Times New Roman" w:cs="Times New Roman"/>
        </w:rPr>
        <w:t>estimated</w:t>
      </w:r>
      <w:r w:rsidRPr="008E1CAD">
        <w:rPr>
          <w:rFonts w:ascii="Times New Roman" w:hAnsi="Times New Roman" w:cs="Times New Roman"/>
        </w:rPr>
        <w:t xml:space="preserve"> as follows: cyclophosphamide plus bortezomib and dexamethasone (VCd, 32.6%), doxorubicin plus bortezomib and dexamethasone (VAd, 23.6%), bortezomib plus dexamethasone (Vd, 22.7%), thalidomide plus bortezomib and dexamethasone (VTd, 12.2%), and lenalidomide plus bortezomib and dexamethasone (VRd, 8.9%).</w:t>
      </w:r>
    </w:p>
    <w:p w14:paraId="39C74851" w14:textId="1848E7EC" w:rsidR="00717A20" w:rsidRPr="008E1CAD" w:rsidRDefault="00717A20" w:rsidP="00717A20">
      <w:pPr>
        <w:rPr>
          <w:rFonts w:ascii="Times New Roman" w:hAnsi="Times New Roman" w:cs="Times New Roman"/>
        </w:rPr>
      </w:pPr>
      <w:r w:rsidRPr="008E1CAD">
        <w:rPr>
          <w:rFonts w:ascii="Times New Roman" w:hAnsi="Times New Roman" w:cs="Times New Roman"/>
          <w:b/>
        </w:rPr>
        <w:t>Front-</w:t>
      </w:r>
      <w:r w:rsidR="00F46860" w:rsidRPr="008E1CAD">
        <w:rPr>
          <w:rFonts w:ascii="Times New Roman" w:hAnsi="Times New Roman" w:cs="Times New Roman"/>
          <w:b/>
        </w:rPr>
        <w:t>line induction overall response rate</w:t>
      </w:r>
      <w:r w:rsidRPr="008E1CAD">
        <w:rPr>
          <w:rFonts w:ascii="Times New Roman" w:hAnsi="Times New Roman" w:cs="Times New Roman"/>
          <w:b/>
        </w:rPr>
        <w:t xml:space="preserve"> (ORR):</w:t>
      </w:r>
      <w:r w:rsidRPr="008E1CAD">
        <w:rPr>
          <w:rFonts w:ascii="Times New Roman" w:hAnsi="Times New Roman" w:cs="Times New Roman"/>
        </w:rPr>
        <w:t xml:space="preserve"> A total of 27 observational studies reported front-line ORR outcomes for V-based induction regimens. </w:t>
      </w:r>
      <w:r w:rsidR="00171205" w:rsidRPr="008E1CAD">
        <w:rPr>
          <w:rFonts w:ascii="Times New Roman" w:hAnsi="Times New Roman" w:cs="Times New Roman"/>
        </w:rPr>
        <w:t>Single-arm meta-analyses using random-effects models</w:t>
      </w:r>
      <w:r w:rsidRPr="008E1CAD">
        <w:rPr>
          <w:rFonts w:ascii="Times New Roman" w:hAnsi="Times New Roman" w:cs="Times New Roman"/>
        </w:rPr>
        <w:t xml:space="preserve"> were conducted to pool the efficacy of individual regimens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F95EB1">
        <w:rPr>
          <w:rFonts w:ascii="Times New Roman" w:hAnsi="Times New Roman" w:cs="Times New Roman" w:hint="eastAsia"/>
          <w:i/>
          <w:iCs/>
        </w:rPr>
        <w:t>2</w:t>
      </w:r>
      <w:r w:rsidRPr="008E1CAD">
        <w:rPr>
          <w:rFonts w:ascii="Times New Roman" w:hAnsi="Times New Roman" w:cs="Times New Roman"/>
        </w:rPr>
        <w:t>). By weighting the pooled ORR of each specific regimen against its respective real-world utilization distribution, the composite front-line induction response rate for the iCT IRd strateg</w:t>
      </w:r>
      <w:r w:rsidR="00171205" w:rsidRPr="008E1CAD">
        <w:rPr>
          <w:rFonts w:ascii="Times New Roman" w:hAnsi="Times New Roman" w:cs="Times New Roman"/>
        </w:rPr>
        <w:t>y</w:t>
      </w:r>
      <w:r w:rsidRPr="008E1CAD">
        <w:rPr>
          <w:rFonts w:ascii="Times New Roman" w:hAnsi="Times New Roman" w:cs="Times New Roman"/>
        </w:rPr>
        <w:t xml:space="preserve"> was determined to be 82.6%. The systematic literature review (SLR) retrieved no real-world observational studies </w:t>
      </w:r>
      <w:r w:rsidR="006D5FB2" w:rsidRPr="008E1CAD">
        <w:rPr>
          <w:rFonts w:ascii="Times New Roman" w:hAnsi="Times New Roman" w:cs="Times New Roman"/>
        </w:rPr>
        <w:t>evaluating</w:t>
      </w:r>
      <w:r w:rsidRPr="008E1CAD">
        <w:rPr>
          <w:rFonts w:ascii="Times New Roman" w:hAnsi="Times New Roman" w:cs="Times New Roman"/>
        </w:rPr>
        <w:t xml:space="preserve"> front-line daratumumab-lenalidomide-dexamethasone (DRd) </w:t>
      </w:r>
      <w:r w:rsidR="006D5FB2" w:rsidRPr="008E1CAD">
        <w:rPr>
          <w:rFonts w:ascii="Times New Roman" w:hAnsi="Times New Roman" w:cs="Times New Roman"/>
        </w:rPr>
        <w:t>efficacy in East Asian populations</w:t>
      </w:r>
      <w:r w:rsidRPr="008E1CAD">
        <w:rPr>
          <w:rFonts w:ascii="Times New Roman" w:hAnsi="Times New Roman" w:cs="Times New Roman"/>
        </w:rPr>
        <w:t xml:space="preserve">. Consequently, a targeted supplementary search identified </w:t>
      </w:r>
      <w:r w:rsidR="006D5FB2" w:rsidRPr="008E1CAD">
        <w:rPr>
          <w:rFonts w:ascii="Times New Roman" w:hAnsi="Times New Roman" w:cs="Times New Roman"/>
        </w:rPr>
        <w:t>four</w:t>
      </w:r>
      <w:r w:rsidRPr="008E1CAD">
        <w:rPr>
          <w:rFonts w:ascii="Times New Roman" w:hAnsi="Times New Roman" w:cs="Times New Roman"/>
        </w:rPr>
        <w:t xml:space="preserve"> international observational cohorts (total N = 126), yielding a pooled front-line DRd induction response rate of 87.3% (95% CI: 80.3%</w:t>
      </w:r>
      <w:r w:rsidR="002374D8" w:rsidRPr="008E1CAD">
        <w:rPr>
          <w:rFonts w:ascii="Times New Roman" w:hAnsi="Times New Roman" w:cs="Times New Roman"/>
        </w:rPr>
        <w:t>-</w:t>
      </w:r>
      <w:r w:rsidRPr="008E1CAD">
        <w:rPr>
          <w:rFonts w:ascii="Times New Roman" w:hAnsi="Times New Roman" w:cs="Times New Roman"/>
        </w:rPr>
        <w:t>92.1%).</w:t>
      </w:r>
    </w:p>
    <w:p w14:paraId="2D2E232B" w14:textId="5D323A42" w:rsidR="00717A20" w:rsidRDefault="00717A20" w:rsidP="00717A20">
      <w:pPr>
        <w:rPr>
          <w:rFonts w:ascii="Times New Roman" w:hAnsi="Times New Roman" w:cs="Times New Roman"/>
        </w:rPr>
      </w:pPr>
      <w:r w:rsidRPr="008E1CAD">
        <w:rPr>
          <w:rFonts w:ascii="Times New Roman" w:hAnsi="Times New Roman" w:cs="Times New Roman"/>
          <w:b/>
        </w:rPr>
        <w:t>Subsequent-</w:t>
      </w:r>
      <w:r w:rsidR="00F46860" w:rsidRPr="008E1CAD">
        <w:rPr>
          <w:rFonts w:ascii="Times New Roman" w:hAnsi="Times New Roman" w:cs="Times New Roman"/>
          <w:b/>
        </w:rPr>
        <w:t>line rescue induction clinical efficacy</w:t>
      </w:r>
      <w:r w:rsidRPr="008E1CAD">
        <w:rPr>
          <w:rFonts w:ascii="Times New Roman" w:hAnsi="Times New Roman" w:cs="Times New Roman"/>
          <w:b/>
        </w:rPr>
        <w:t>:</w:t>
      </w:r>
      <w:r w:rsidRPr="008E1CAD">
        <w:rPr>
          <w:rFonts w:ascii="Times New Roman" w:hAnsi="Times New Roman" w:cs="Times New Roman"/>
        </w:rPr>
        <w:t xml:space="preserve"> For patients transitioning to the relapsed or refractory multiple myeloma (rrMM) phase, 20 observational studies reporting rescue induction ORR were synthesized via single-arm meta-analyses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F95EB1">
        <w:rPr>
          <w:rFonts w:ascii="Times New Roman" w:hAnsi="Times New Roman" w:cs="Times New Roman" w:hint="eastAsia"/>
          <w:i/>
          <w:iCs/>
        </w:rPr>
        <w:t>2</w:t>
      </w:r>
      <w:r w:rsidRPr="008E1CAD">
        <w:rPr>
          <w:rFonts w:ascii="Times New Roman" w:hAnsi="Times New Roman" w:cs="Times New Roman"/>
        </w:rPr>
        <w:t xml:space="preserve">). By integrating these regimen-specific response rates with the </w:t>
      </w:r>
      <w:r w:rsidR="006D5FB2" w:rsidRPr="008E1CAD">
        <w:rPr>
          <w:rFonts w:ascii="Times New Roman" w:hAnsi="Times New Roman" w:cs="Times New Roman"/>
        </w:rPr>
        <w:t>corresponding regimen-weight distributions within the subsequent-line baskets</w:t>
      </w:r>
      <w:r w:rsidRPr="008E1CAD">
        <w:rPr>
          <w:rFonts w:ascii="Times New Roman" w:hAnsi="Times New Roman" w:cs="Times New Roman"/>
        </w:rPr>
        <w:t xml:space="preserve"> (detailed in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51576D">
        <w:rPr>
          <w:rFonts w:ascii="Times New Roman" w:hAnsi="Times New Roman" w:cs="Times New Roman" w:hint="eastAsia"/>
          <w:i/>
          <w:iCs/>
        </w:rPr>
        <w:t>6</w:t>
      </w:r>
      <w:r w:rsidRPr="008E1CAD">
        <w:rPr>
          <w:rFonts w:ascii="Times New Roman" w:hAnsi="Times New Roman" w:cs="Times New Roman"/>
        </w:rPr>
        <w:t>), the consolidated subsequent-line rescue induction ORR was calculated to be 67.4% for the iCT IRd pathway and 61.2% for the DRd pathway.</w:t>
      </w:r>
    </w:p>
    <w:p w14:paraId="1DB910A4" w14:textId="77777777" w:rsidR="00F95EB1" w:rsidRPr="008E1CAD" w:rsidRDefault="00F95EB1" w:rsidP="00717A20">
      <w:pPr>
        <w:rPr>
          <w:rFonts w:ascii="Times New Roman" w:hAnsi="Times New Roman" w:cs="Times New Roman"/>
        </w:rPr>
      </w:pPr>
    </w:p>
    <w:p w14:paraId="7B588390" w14:textId="77777777" w:rsidR="003F4F3D" w:rsidRDefault="003F4F3D">
      <w:pPr>
        <w:spacing w:after="200" w:line="276" w:lineRule="auto"/>
        <w:rPr>
          <w:rFonts w:ascii="Times New Roman" w:hAnsi="Times New Roman" w:cs="Times New Roman"/>
          <w:b/>
          <w:i/>
          <w:iCs/>
          <w:sz w:val="18"/>
          <w:szCs w:val="18"/>
        </w:rPr>
      </w:pPr>
      <w:r>
        <w:rPr>
          <w:rFonts w:ascii="Times New Roman" w:hAnsi="Times New Roman" w:cs="Times New Roman"/>
          <w:b/>
          <w:i/>
          <w:iCs/>
          <w:sz w:val="18"/>
          <w:szCs w:val="18"/>
        </w:rPr>
        <w:br w:type="page"/>
      </w:r>
    </w:p>
    <w:p w14:paraId="5E07F6FF" w14:textId="6AF1E46B" w:rsidR="00717A20" w:rsidRPr="008E1CAD" w:rsidRDefault="00717A20" w:rsidP="00717A20">
      <w:pPr>
        <w:rPr>
          <w:rFonts w:ascii="Times New Roman" w:hAnsi="Times New Roman" w:cs="Times New Roman"/>
          <w:i/>
          <w:iCs/>
          <w:sz w:val="18"/>
          <w:szCs w:val="18"/>
        </w:rPr>
      </w:pPr>
      <w:r w:rsidRPr="008E1CAD">
        <w:rPr>
          <w:rFonts w:ascii="Times New Roman" w:hAnsi="Times New Roman" w:cs="Times New Roman"/>
          <w:b/>
          <w:i/>
          <w:iCs/>
          <w:sz w:val="18"/>
          <w:szCs w:val="18"/>
        </w:rPr>
        <w:lastRenderedPageBreak/>
        <w:t xml:space="preserve">Table </w:t>
      </w:r>
      <w:r w:rsidR="00F95EB1" w:rsidRPr="008E1CAD">
        <w:rPr>
          <w:rFonts w:ascii="Times New Roman" w:hAnsi="Times New Roman" w:cs="Times New Roman"/>
          <w:b/>
          <w:i/>
          <w:iCs/>
          <w:sz w:val="18"/>
          <w:szCs w:val="18"/>
        </w:rPr>
        <w:t>S</w:t>
      </w:r>
      <w:r w:rsidR="00F95EB1">
        <w:rPr>
          <w:rFonts w:ascii="Times New Roman" w:hAnsi="Times New Roman" w:cs="Times New Roman" w:hint="eastAsia"/>
          <w:b/>
          <w:i/>
          <w:iCs/>
          <w:sz w:val="18"/>
          <w:szCs w:val="18"/>
        </w:rPr>
        <w:t>2</w:t>
      </w:r>
      <w:r w:rsidRPr="008E1CAD">
        <w:rPr>
          <w:rFonts w:ascii="Times New Roman" w:hAnsi="Times New Roman" w:cs="Times New Roman"/>
          <w:b/>
          <w:i/>
          <w:iCs/>
          <w:sz w:val="18"/>
          <w:szCs w:val="18"/>
        </w:rPr>
        <w:t>.</w:t>
      </w:r>
      <w:r w:rsidRPr="008E1CAD">
        <w:rPr>
          <w:rFonts w:ascii="Times New Roman" w:hAnsi="Times New Roman" w:cs="Times New Roman"/>
          <w:bCs/>
          <w:i/>
          <w:iCs/>
          <w:sz w:val="18"/>
          <w:szCs w:val="18"/>
        </w:rPr>
        <w:t xml:space="preserve"> </w:t>
      </w:r>
      <w:r w:rsidR="006D5FB2" w:rsidRPr="008E1CAD">
        <w:rPr>
          <w:rFonts w:ascii="Times New Roman" w:hAnsi="Times New Roman" w:cs="Times New Roman"/>
          <w:bCs/>
          <w:i/>
          <w:iCs/>
          <w:sz w:val="18"/>
          <w:szCs w:val="18"/>
        </w:rPr>
        <w:t>Single-arm meta-analysis results for induction-therapy overall response rates (ORRs)</w:t>
      </w:r>
      <w:r w:rsidRPr="008E1CAD">
        <w:rPr>
          <w:rFonts w:ascii="Times New Roman" w:hAnsi="Times New Roman" w:cs="Times New Roman"/>
          <w:bCs/>
          <w:i/>
          <w:iCs/>
          <w:sz w:val="18"/>
          <w:szCs w:val="18"/>
        </w:rPr>
        <w:t>.</w:t>
      </w:r>
    </w:p>
    <w:tbl>
      <w:tblPr>
        <w:tblW w:w="0" w:type="auto"/>
        <w:jc w:val="center"/>
        <w:tblBorders>
          <w:top w:val="single" w:sz="4" w:space="0" w:color="auto"/>
          <w:bottom w:val="single" w:sz="4" w:space="0" w:color="auto"/>
        </w:tblBorders>
        <w:tblLook w:val="04A0" w:firstRow="1" w:lastRow="0" w:firstColumn="1" w:lastColumn="0" w:noHBand="0" w:noVBand="1"/>
      </w:tblPr>
      <w:tblGrid>
        <w:gridCol w:w="1190"/>
        <w:gridCol w:w="1270"/>
        <w:gridCol w:w="941"/>
        <w:gridCol w:w="949"/>
        <w:gridCol w:w="1000"/>
        <w:gridCol w:w="870"/>
        <w:gridCol w:w="870"/>
        <w:gridCol w:w="1210"/>
      </w:tblGrid>
      <w:tr w:rsidR="00717A20" w:rsidRPr="008E1CAD" w14:paraId="24B2638F" w14:textId="77777777" w:rsidTr="00AA719D">
        <w:trPr>
          <w:tblHeader/>
          <w:jc w:val="center"/>
        </w:trPr>
        <w:tc>
          <w:tcPr>
            <w:tcW w:w="1190" w:type="dxa"/>
            <w:tcBorders>
              <w:top w:val="single" w:sz="4" w:space="0" w:color="auto"/>
              <w:bottom w:val="single" w:sz="4" w:space="0" w:color="auto"/>
            </w:tcBorders>
            <w:tcMar>
              <w:top w:w="100" w:type="dxa"/>
              <w:left w:w="150" w:type="dxa"/>
              <w:bottom w:w="100" w:type="dxa"/>
              <w:right w:w="150" w:type="dxa"/>
            </w:tcMar>
          </w:tcPr>
          <w:p w14:paraId="729B6E53" w14:textId="44F70ED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 xml:space="preserve">Parameter </w:t>
            </w:r>
            <w:r w:rsidR="00090FCB" w:rsidRPr="008E1CAD">
              <w:rPr>
                <w:rFonts w:ascii="Times New Roman" w:hAnsi="Times New Roman" w:cs="Times New Roman"/>
                <w:b/>
                <w:sz w:val="18"/>
                <w:szCs w:val="18"/>
              </w:rPr>
              <w:t>c</w:t>
            </w:r>
            <w:r w:rsidRPr="008E1CAD">
              <w:rPr>
                <w:rFonts w:ascii="Times New Roman" w:hAnsi="Times New Roman" w:cs="Times New Roman"/>
                <w:b/>
                <w:sz w:val="18"/>
                <w:szCs w:val="18"/>
              </w:rPr>
              <w:t>ategory</w:t>
            </w:r>
          </w:p>
        </w:tc>
        <w:tc>
          <w:tcPr>
            <w:tcW w:w="1270" w:type="dxa"/>
            <w:tcBorders>
              <w:top w:val="single" w:sz="4" w:space="0" w:color="auto"/>
              <w:bottom w:val="single" w:sz="4" w:space="0" w:color="auto"/>
            </w:tcBorders>
            <w:tcMar>
              <w:top w:w="100" w:type="dxa"/>
              <w:left w:w="150" w:type="dxa"/>
              <w:bottom w:w="100" w:type="dxa"/>
              <w:right w:w="150" w:type="dxa"/>
            </w:tcMar>
          </w:tcPr>
          <w:p w14:paraId="4FE45040" w14:textId="495D3DAC"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Regimen</w:t>
            </w:r>
          </w:p>
        </w:tc>
        <w:tc>
          <w:tcPr>
            <w:tcW w:w="941" w:type="dxa"/>
            <w:tcBorders>
              <w:top w:val="single" w:sz="4" w:space="0" w:color="auto"/>
              <w:bottom w:val="single" w:sz="4" w:space="0" w:color="auto"/>
            </w:tcBorders>
            <w:tcMar>
              <w:top w:w="100" w:type="dxa"/>
              <w:left w:w="150" w:type="dxa"/>
              <w:bottom w:w="100" w:type="dxa"/>
              <w:right w:w="150" w:type="dxa"/>
            </w:tcMar>
          </w:tcPr>
          <w:p w14:paraId="04E788E3"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Studies (n)</w:t>
            </w:r>
          </w:p>
        </w:tc>
        <w:tc>
          <w:tcPr>
            <w:tcW w:w="949" w:type="dxa"/>
            <w:tcBorders>
              <w:top w:val="single" w:sz="4" w:space="0" w:color="auto"/>
              <w:bottom w:val="single" w:sz="4" w:space="0" w:color="auto"/>
            </w:tcBorders>
            <w:tcMar>
              <w:top w:w="100" w:type="dxa"/>
              <w:left w:w="150" w:type="dxa"/>
              <w:bottom w:w="100" w:type="dxa"/>
              <w:right w:w="150" w:type="dxa"/>
            </w:tcMar>
          </w:tcPr>
          <w:p w14:paraId="417B1394" w14:textId="51F5F8D8"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 xml:space="preserve">Sample </w:t>
            </w:r>
            <w:r w:rsidR="00090FCB" w:rsidRPr="008E1CAD">
              <w:rPr>
                <w:rFonts w:ascii="Times New Roman" w:hAnsi="Times New Roman" w:cs="Times New Roman"/>
                <w:b/>
                <w:sz w:val="18"/>
                <w:szCs w:val="18"/>
              </w:rPr>
              <w:t>s</w:t>
            </w:r>
            <w:r w:rsidRPr="008E1CAD">
              <w:rPr>
                <w:rFonts w:ascii="Times New Roman" w:hAnsi="Times New Roman" w:cs="Times New Roman"/>
                <w:b/>
                <w:sz w:val="18"/>
                <w:szCs w:val="18"/>
              </w:rPr>
              <w:t>ize (N)</w:t>
            </w:r>
          </w:p>
        </w:tc>
        <w:tc>
          <w:tcPr>
            <w:tcW w:w="1000" w:type="dxa"/>
            <w:tcBorders>
              <w:top w:val="single" w:sz="4" w:space="0" w:color="auto"/>
              <w:bottom w:val="single" w:sz="4" w:space="0" w:color="auto"/>
            </w:tcBorders>
            <w:tcMar>
              <w:top w:w="100" w:type="dxa"/>
              <w:left w:w="150" w:type="dxa"/>
              <w:bottom w:w="100" w:type="dxa"/>
              <w:right w:w="150" w:type="dxa"/>
            </w:tcMar>
          </w:tcPr>
          <w:p w14:paraId="29AAE790"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Baseline</w:t>
            </w:r>
          </w:p>
        </w:tc>
        <w:tc>
          <w:tcPr>
            <w:tcW w:w="870" w:type="dxa"/>
            <w:tcBorders>
              <w:top w:val="single" w:sz="4" w:space="0" w:color="auto"/>
              <w:bottom w:val="single" w:sz="4" w:space="0" w:color="auto"/>
            </w:tcBorders>
            <w:tcMar>
              <w:top w:w="100" w:type="dxa"/>
              <w:left w:w="150" w:type="dxa"/>
              <w:bottom w:w="100" w:type="dxa"/>
              <w:right w:w="150" w:type="dxa"/>
            </w:tcMar>
          </w:tcPr>
          <w:p w14:paraId="1C824E24" w14:textId="3DB51BB0"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 xml:space="preserve">95% CI </w:t>
            </w:r>
            <w:r w:rsidR="006D5FB2" w:rsidRPr="008E1CAD">
              <w:rPr>
                <w:rFonts w:ascii="Times New Roman" w:hAnsi="Times New Roman" w:cs="Times New Roman"/>
                <w:b/>
                <w:sz w:val="18"/>
                <w:szCs w:val="18"/>
              </w:rPr>
              <w:t>l</w:t>
            </w:r>
            <w:r w:rsidRPr="008E1CAD">
              <w:rPr>
                <w:rFonts w:ascii="Times New Roman" w:hAnsi="Times New Roman" w:cs="Times New Roman"/>
                <w:b/>
                <w:sz w:val="18"/>
                <w:szCs w:val="18"/>
              </w:rPr>
              <w:t>ow</w:t>
            </w:r>
            <w:r w:rsidR="00090FCB" w:rsidRPr="008E1CAD">
              <w:rPr>
                <w:rFonts w:ascii="Times New Roman" w:hAnsi="Times New Roman" w:cs="Times New Roman"/>
                <w:b/>
                <w:sz w:val="18"/>
                <w:szCs w:val="18"/>
              </w:rPr>
              <w:t>er</w:t>
            </w:r>
          </w:p>
        </w:tc>
        <w:tc>
          <w:tcPr>
            <w:tcW w:w="870" w:type="dxa"/>
            <w:tcBorders>
              <w:top w:val="single" w:sz="4" w:space="0" w:color="auto"/>
              <w:bottom w:val="single" w:sz="4" w:space="0" w:color="auto"/>
            </w:tcBorders>
            <w:tcMar>
              <w:top w:w="100" w:type="dxa"/>
              <w:left w:w="150" w:type="dxa"/>
              <w:bottom w:w="100" w:type="dxa"/>
              <w:right w:w="150" w:type="dxa"/>
            </w:tcMar>
          </w:tcPr>
          <w:p w14:paraId="4DFC71DA" w14:textId="1688FCE9"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 xml:space="preserve">95% CI </w:t>
            </w:r>
            <w:r w:rsidR="006D5FB2" w:rsidRPr="008E1CAD">
              <w:rPr>
                <w:rFonts w:ascii="Times New Roman" w:hAnsi="Times New Roman" w:cs="Times New Roman"/>
                <w:b/>
                <w:sz w:val="18"/>
                <w:szCs w:val="18"/>
              </w:rPr>
              <w:t>u</w:t>
            </w:r>
            <w:r w:rsidR="00090FCB" w:rsidRPr="008E1CAD">
              <w:rPr>
                <w:rFonts w:ascii="Times New Roman" w:hAnsi="Times New Roman" w:cs="Times New Roman"/>
                <w:b/>
                <w:sz w:val="18"/>
                <w:szCs w:val="18"/>
              </w:rPr>
              <w:t>pper</w:t>
            </w:r>
          </w:p>
        </w:tc>
        <w:tc>
          <w:tcPr>
            <w:tcW w:w="1210" w:type="dxa"/>
            <w:tcBorders>
              <w:top w:val="single" w:sz="4" w:space="0" w:color="auto"/>
              <w:bottom w:val="single" w:sz="4" w:space="0" w:color="auto"/>
            </w:tcBorders>
            <w:tcMar>
              <w:top w:w="100" w:type="dxa"/>
              <w:left w:w="150" w:type="dxa"/>
              <w:bottom w:w="100" w:type="dxa"/>
              <w:right w:w="150" w:type="dxa"/>
            </w:tcMar>
          </w:tcPr>
          <w:p w14:paraId="68A88991" w14:textId="19D4BE4E"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b/>
                <w:sz w:val="18"/>
                <w:szCs w:val="18"/>
              </w:rPr>
              <w:t xml:space="preserve">Data </w:t>
            </w:r>
            <w:r w:rsidR="00090FCB" w:rsidRPr="008E1CAD">
              <w:rPr>
                <w:rFonts w:ascii="Times New Roman" w:hAnsi="Times New Roman" w:cs="Times New Roman"/>
                <w:b/>
                <w:sz w:val="18"/>
                <w:szCs w:val="18"/>
              </w:rPr>
              <w:t>s</w:t>
            </w:r>
            <w:r w:rsidRPr="008E1CAD">
              <w:rPr>
                <w:rFonts w:ascii="Times New Roman" w:hAnsi="Times New Roman" w:cs="Times New Roman"/>
                <w:b/>
                <w:sz w:val="18"/>
                <w:szCs w:val="18"/>
              </w:rPr>
              <w:t>ource</w:t>
            </w:r>
          </w:p>
        </w:tc>
      </w:tr>
      <w:tr w:rsidR="008E6781" w:rsidRPr="008E1CAD" w14:paraId="3496EB69" w14:textId="77777777" w:rsidTr="00AA719D">
        <w:trPr>
          <w:jc w:val="center"/>
        </w:trPr>
        <w:tc>
          <w:tcPr>
            <w:tcW w:w="8300" w:type="dxa"/>
            <w:gridSpan w:val="8"/>
            <w:tcBorders>
              <w:top w:val="single" w:sz="4" w:space="0" w:color="auto"/>
              <w:bottom w:val="nil"/>
            </w:tcBorders>
            <w:tcMar>
              <w:top w:w="100" w:type="dxa"/>
              <w:left w:w="150" w:type="dxa"/>
              <w:bottom w:w="100" w:type="dxa"/>
              <w:right w:w="150" w:type="dxa"/>
            </w:tcMar>
          </w:tcPr>
          <w:p w14:paraId="5CF816FE" w14:textId="26D9926F" w:rsidR="008E6781" w:rsidRPr="008E1CAD" w:rsidRDefault="008E6781" w:rsidP="00717A20">
            <w:pPr>
              <w:rPr>
                <w:rFonts w:ascii="Times New Roman" w:hAnsi="Times New Roman" w:cs="Times New Roman"/>
                <w:b/>
                <w:bCs/>
                <w:sz w:val="18"/>
                <w:szCs w:val="18"/>
              </w:rPr>
            </w:pPr>
            <w:r w:rsidRPr="008E1CAD">
              <w:rPr>
                <w:rFonts w:ascii="Times New Roman" w:hAnsi="Times New Roman" w:cs="Times New Roman"/>
                <w:b/>
                <w:bCs/>
                <w:sz w:val="18"/>
                <w:szCs w:val="18"/>
              </w:rPr>
              <w:t>Front-</w:t>
            </w:r>
            <w:r w:rsidR="00090FCB" w:rsidRPr="008E1CAD">
              <w:rPr>
                <w:rFonts w:ascii="Times New Roman" w:hAnsi="Times New Roman" w:cs="Times New Roman"/>
                <w:b/>
                <w:bCs/>
                <w:sz w:val="18"/>
                <w:szCs w:val="18"/>
              </w:rPr>
              <w:t>line induction response rate</w:t>
            </w:r>
          </w:p>
        </w:tc>
      </w:tr>
      <w:tr w:rsidR="00717A20" w:rsidRPr="008E1CAD" w14:paraId="231371D6" w14:textId="77777777" w:rsidTr="00AA719D">
        <w:trPr>
          <w:jc w:val="center"/>
        </w:trPr>
        <w:tc>
          <w:tcPr>
            <w:tcW w:w="1190" w:type="dxa"/>
            <w:tcBorders>
              <w:top w:val="nil"/>
            </w:tcBorders>
            <w:tcMar>
              <w:top w:w="100" w:type="dxa"/>
              <w:left w:w="150" w:type="dxa"/>
              <w:bottom w:w="100" w:type="dxa"/>
              <w:right w:w="150" w:type="dxa"/>
            </w:tcMar>
          </w:tcPr>
          <w:p w14:paraId="6AA21D4B" w14:textId="7F7B3516" w:rsidR="00717A20" w:rsidRPr="008E1CAD" w:rsidRDefault="00717A20" w:rsidP="00717A20">
            <w:pPr>
              <w:rPr>
                <w:rFonts w:ascii="Times New Roman" w:hAnsi="Times New Roman" w:cs="Times New Roman"/>
                <w:sz w:val="18"/>
                <w:szCs w:val="18"/>
              </w:rPr>
            </w:pPr>
          </w:p>
        </w:tc>
        <w:tc>
          <w:tcPr>
            <w:tcW w:w="1270" w:type="dxa"/>
            <w:tcBorders>
              <w:top w:val="nil"/>
            </w:tcBorders>
            <w:tcMar>
              <w:top w:w="100" w:type="dxa"/>
              <w:left w:w="150" w:type="dxa"/>
              <w:bottom w:w="100" w:type="dxa"/>
              <w:right w:w="150" w:type="dxa"/>
            </w:tcMar>
          </w:tcPr>
          <w:p w14:paraId="684AB6DC"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VRd</w:t>
            </w:r>
          </w:p>
        </w:tc>
        <w:tc>
          <w:tcPr>
            <w:tcW w:w="941" w:type="dxa"/>
            <w:tcBorders>
              <w:top w:val="nil"/>
            </w:tcBorders>
            <w:tcMar>
              <w:top w:w="100" w:type="dxa"/>
              <w:left w:w="150" w:type="dxa"/>
              <w:bottom w:w="100" w:type="dxa"/>
              <w:right w:w="150" w:type="dxa"/>
            </w:tcMar>
          </w:tcPr>
          <w:p w14:paraId="1556165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12</w:t>
            </w:r>
          </w:p>
        </w:tc>
        <w:tc>
          <w:tcPr>
            <w:tcW w:w="949" w:type="dxa"/>
            <w:tcBorders>
              <w:top w:val="nil"/>
            </w:tcBorders>
            <w:tcMar>
              <w:top w:w="100" w:type="dxa"/>
              <w:left w:w="150" w:type="dxa"/>
              <w:bottom w:w="100" w:type="dxa"/>
              <w:right w:w="150" w:type="dxa"/>
            </w:tcMar>
          </w:tcPr>
          <w:p w14:paraId="22A43AE9"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897</w:t>
            </w:r>
          </w:p>
        </w:tc>
        <w:tc>
          <w:tcPr>
            <w:tcW w:w="1000" w:type="dxa"/>
            <w:tcBorders>
              <w:top w:val="nil"/>
            </w:tcBorders>
            <w:tcMar>
              <w:top w:w="100" w:type="dxa"/>
              <w:left w:w="150" w:type="dxa"/>
              <w:bottom w:w="100" w:type="dxa"/>
              <w:right w:w="150" w:type="dxa"/>
            </w:tcMar>
          </w:tcPr>
          <w:p w14:paraId="1174C9A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91.6%</w:t>
            </w:r>
          </w:p>
        </w:tc>
        <w:tc>
          <w:tcPr>
            <w:tcW w:w="870" w:type="dxa"/>
            <w:tcBorders>
              <w:top w:val="nil"/>
            </w:tcBorders>
            <w:tcMar>
              <w:top w:w="100" w:type="dxa"/>
              <w:left w:w="150" w:type="dxa"/>
              <w:bottom w:w="100" w:type="dxa"/>
              <w:right w:w="150" w:type="dxa"/>
            </w:tcMar>
          </w:tcPr>
          <w:p w14:paraId="48699AD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87.0%</w:t>
            </w:r>
          </w:p>
        </w:tc>
        <w:tc>
          <w:tcPr>
            <w:tcW w:w="870" w:type="dxa"/>
            <w:tcBorders>
              <w:top w:val="nil"/>
            </w:tcBorders>
            <w:tcMar>
              <w:top w:w="100" w:type="dxa"/>
              <w:left w:w="150" w:type="dxa"/>
              <w:bottom w:w="100" w:type="dxa"/>
              <w:right w:w="150" w:type="dxa"/>
            </w:tcMar>
          </w:tcPr>
          <w:p w14:paraId="1665C4EF"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94.7%</w:t>
            </w:r>
          </w:p>
        </w:tc>
        <w:tc>
          <w:tcPr>
            <w:tcW w:w="1210" w:type="dxa"/>
            <w:tcBorders>
              <w:top w:val="nil"/>
            </w:tcBorders>
            <w:tcMar>
              <w:top w:w="100" w:type="dxa"/>
              <w:left w:w="150" w:type="dxa"/>
              <w:bottom w:w="100" w:type="dxa"/>
              <w:right w:w="150" w:type="dxa"/>
            </w:tcMar>
          </w:tcPr>
          <w:p w14:paraId="5940B959" w14:textId="119741AE"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Huo 2023, Xu 2022b, Shimura 2023, You 2022, Jia 2019, Liu 2021b, Wang 2021, Wang 2022, Xu 2022a, Yan 2023, Yang 2021</w:t>
            </w:r>
            <w:r w:rsidR="00791E18">
              <w:rPr>
                <w:rFonts w:ascii="Times New Roman" w:hAnsi="Times New Roman" w:cs="Times New Roman" w:hint="eastAsia"/>
                <w:sz w:val="18"/>
                <w:szCs w:val="18"/>
              </w:rPr>
              <w:t>a</w:t>
            </w:r>
            <w:r w:rsidRPr="008E1CAD">
              <w:rPr>
                <w:rFonts w:ascii="Times New Roman" w:hAnsi="Times New Roman" w:cs="Times New Roman"/>
                <w:sz w:val="18"/>
                <w:szCs w:val="18"/>
              </w:rPr>
              <w:t>, Yao 2022</w:t>
            </w:r>
          </w:p>
        </w:tc>
      </w:tr>
      <w:tr w:rsidR="00717A20" w:rsidRPr="008E1CAD" w14:paraId="04A6D782" w14:textId="77777777" w:rsidTr="00AA719D">
        <w:trPr>
          <w:jc w:val="center"/>
        </w:trPr>
        <w:tc>
          <w:tcPr>
            <w:tcW w:w="1190" w:type="dxa"/>
            <w:tcMar>
              <w:top w:w="100" w:type="dxa"/>
              <w:left w:w="150" w:type="dxa"/>
              <w:bottom w:w="100" w:type="dxa"/>
              <w:right w:w="150" w:type="dxa"/>
            </w:tcMar>
          </w:tcPr>
          <w:p w14:paraId="3C02E4CD"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56105FF1"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VCd</w:t>
            </w:r>
          </w:p>
        </w:tc>
        <w:tc>
          <w:tcPr>
            <w:tcW w:w="941" w:type="dxa"/>
            <w:tcMar>
              <w:top w:w="100" w:type="dxa"/>
              <w:left w:w="150" w:type="dxa"/>
              <w:bottom w:w="100" w:type="dxa"/>
              <w:right w:w="150" w:type="dxa"/>
            </w:tcMar>
          </w:tcPr>
          <w:p w14:paraId="4D3D87B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11</w:t>
            </w:r>
          </w:p>
        </w:tc>
        <w:tc>
          <w:tcPr>
            <w:tcW w:w="949" w:type="dxa"/>
            <w:tcMar>
              <w:top w:w="100" w:type="dxa"/>
              <w:left w:w="150" w:type="dxa"/>
              <w:bottom w:w="100" w:type="dxa"/>
              <w:right w:w="150" w:type="dxa"/>
            </w:tcMar>
          </w:tcPr>
          <w:p w14:paraId="4C8CC8FB"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747</w:t>
            </w:r>
          </w:p>
        </w:tc>
        <w:tc>
          <w:tcPr>
            <w:tcW w:w="1000" w:type="dxa"/>
            <w:tcMar>
              <w:top w:w="100" w:type="dxa"/>
              <w:left w:w="150" w:type="dxa"/>
              <w:bottom w:w="100" w:type="dxa"/>
              <w:right w:w="150" w:type="dxa"/>
            </w:tcMar>
          </w:tcPr>
          <w:p w14:paraId="500719E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84.8%</w:t>
            </w:r>
          </w:p>
        </w:tc>
        <w:tc>
          <w:tcPr>
            <w:tcW w:w="870" w:type="dxa"/>
            <w:tcMar>
              <w:top w:w="100" w:type="dxa"/>
              <w:left w:w="150" w:type="dxa"/>
              <w:bottom w:w="100" w:type="dxa"/>
              <w:right w:w="150" w:type="dxa"/>
            </w:tcMar>
          </w:tcPr>
          <w:p w14:paraId="3B7A83A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80.5%</w:t>
            </w:r>
          </w:p>
        </w:tc>
        <w:tc>
          <w:tcPr>
            <w:tcW w:w="870" w:type="dxa"/>
            <w:tcMar>
              <w:top w:w="100" w:type="dxa"/>
              <w:left w:w="150" w:type="dxa"/>
              <w:bottom w:w="100" w:type="dxa"/>
              <w:right w:w="150" w:type="dxa"/>
            </w:tcMar>
          </w:tcPr>
          <w:p w14:paraId="6619360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88.2%</w:t>
            </w:r>
          </w:p>
        </w:tc>
        <w:tc>
          <w:tcPr>
            <w:tcW w:w="1210" w:type="dxa"/>
            <w:tcMar>
              <w:top w:w="100" w:type="dxa"/>
              <w:left w:w="150" w:type="dxa"/>
              <w:bottom w:w="100" w:type="dxa"/>
              <w:right w:w="150" w:type="dxa"/>
            </w:tcMar>
          </w:tcPr>
          <w:p w14:paraId="703A38ED" w14:textId="725C2399"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Chen 2022, Deng 2021, Shimura 2023, Chen 2020, Deng 2022, Han 2019, Liu 2018, Pan 2019, Wang 2021, Yang 2021</w:t>
            </w:r>
            <w:r w:rsidR="00791E18">
              <w:rPr>
                <w:rFonts w:ascii="Times New Roman" w:hAnsi="Times New Roman" w:cs="Times New Roman" w:hint="eastAsia"/>
                <w:sz w:val="18"/>
                <w:szCs w:val="18"/>
              </w:rPr>
              <w:t>a</w:t>
            </w:r>
            <w:r w:rsidRPr="008E1CAD">
              <w:rPr>
                <w:rFonts w:ascii="Times New Roman" w:hAnsi="Times New Roman" w:cs="Times New Roman"/>
                <w:sz w:val="18"/>
                <w:szCs w:val="18"/>
              </w:rPr>
              <w:t>, Zhou 2019</w:t>
            </w:r>
          </w:p>
        </w:tc>
      </w:tr>
      <w:tr w:rsidR="00717A20" w:rsidRPr="008E1CAD" w14:paraId="348DF264" w14:textId="77777777" w:rsidTr="00AA719D">
        <w:trPr>
          <w:jc w:val="center"/>
        </w:trPr>
        <w:tc>
          <w:tcPr>
            <w:tcW w:w="1190" w:type="dxa"/>
            <w:tcMar>
              <w:top w:w="100" w:type="dxa"/>
              <w:left w:w="150" w:type="dxa"/>
              <w:bottom w:w="100" w:type="dxa"/>
              <w:right w:w="150" w:type="dxa"/>
            </w:tcMar>
          </w:tcPr>
          <w:p w14:paraId="0FA65000"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7A57C532"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VAd</w:t>
            </w:r>
          </w:p>
        </w:tc>
        <w:tc>
          <w:tcPr>
            <w:tcW w:w="941" w:type="dxa"/>
            <w:tcMar>
              <w:top w:w="100" w:type="dxa"/>
              <w:left w:w="150" w:type="dxa"/>
              <w:bottom w:w="100" w:type="dxa"/>
              <w:right w:w="150" w:type="dxa"/>
            </w:tcMar>
          </w:tcPr>
          <w:p w14:paraId="14350E0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w:t>
            </w:r>
          </w:p>
        </w:tc>
        <w:tc>
          <w:tcPr>
            <w:tcW w:w="949" w:type="dxa"/>
            <w:tcMar>
              <w:top w:w="100" w:type="dxa"/>
              <w:left w:w="150" w:type="dxa"/>
              <w:bottom w:w="100" w:type="dxa"/>
              <w:right w:w="150" w:type="dxa"/>
            </w:tcMar>
          </w:tcPr>
          <w:p w14:paraId="52679D39"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520</w:t>
            </w:r>
          </w:p>
        </w:tc>
        <w:tc>
          <w:tcPr>
            <w:tcW w:w="1000" w:type="dxa"/>
            <w:tcMar>
              <w:top w:w="100" w:type="dxa"/>
              <w:left w:w="150" w:type="dxa"/>
              <w:bottom w:w="100" w:type="dxa"/>
              <w:right w:w="150" w:type="dxa"/>
            </w:tcMar>
          </w:tcPr>
          <w:p w14:paraId="6C077184"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92.0%</w:t>
            </w:r>
          </w:p>
        </w:tc>
        <w:tc>
          <w:tcPr>
            <w:tcW w:w="870" w:type="dxa"/>
            <w:tcMar>
              <w:top w:w="100" w:type="dxa"/>
              <w:left w:w="150" w:type="dxa"/>
              <w:bottom w:w="100" w:type="dxa"/>
              <w:right w:w="150" w:type="dxa"/>
            </w:tcMar>
          </w:tcPr>
          <w:p w14:paraId="749ABEA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85.9%</w:t>
            </w:r>
          </w:p>
        </w:tc>
        <w:tc>
          <w:tcPr>
            <w:tcW w:w="870" w:type="dxa"/>
            <w:tcMar>
              <w:top w:w="100" w:type="dxa"/>
              <w:left w:w="150" w:type="dxa"/>
              <w:bottom w:w="100" w:type="dxa"/>
              <w:right w:w="150" w:type="dxa"/>
            </w:tcMar>
          </w:tcPr>
          <w:p w14:paraId="6F91D81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95.6%</w:t>
            </w:r>
          </w:p>
        </w:tc>
        <w:tc>
          <w:tcPr>
            <w:tcW w:w="1210" w:type="dxa"/>
            <w:tcMar>
              <w:top w:w="100" w:type="dxa"/>
              <w:left w:w="150" w:type="dxa"/>
              <w:bottom w:w="100" w:type="dxa"/>
              <w:right w:w="150" w:type="dxa"/>
            </w:tcMar>
          </w:tcPr>
          <w:p w14:paraId="491B3A07" w14:textId="469BEE92"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Chen 2022, Deng 2021, Gu 2019, Ji R 2019, Yang 2021</w:t>
            </w:r>
            <w:r w:rsidR="00791E18">
              <w:rPr>
                <w:rFonts w:ascii="Times New Roman" w:hAnsi="Times New Roman" w:cs="Times New Roman" w:hint="eastAsia"/>
                <w:sz w:val="18"/>
                <w:szCs w:val="18"/>
              </w:rPr>
              <w:t>a</w:t>
            </w:r>
            <w:r w:rsidRPr="008E1CAD">
              <w:rPr>
                <w:rFonts w:ascii="Times New Roman" w:hAnsi="Times New Roman" w:cs="Times New Roman"/>
                <w:sz w:val="18"/>
                <w:szCs w:val="18"/>
              </w:rPr>
              <w:t>, Zheng 2019</w:t>
            </w:r>
          </w:p>
        </w:tc>
      </w:tr>
      <w:tr w:rsidR="00717A20" w:rsidRPr="008E1CAD" w14:paraId="7461E2ED" w14:textId="77777777" w:rsidTr="00AA719D">
        <w:trPr>
          <w:jc w:val="center"/>
        </w:trPr>
        <w:tc>
          <w:tcPr>
            <w:tcW w:w="1190" w:type="dxa"/>
            <w:tcMar>
              <w:top w:w="100" w:type="dxa"/>
              <w:left w:w="150" w:type="dxa"/>
              <w:bottom w:w="100" w:type="dxa"/>
              <w:right w:w="150" w:type="dxa"/>
            </w:tcMar>
          </w:tcPr>
          <w:p w14:paraId="4498A39F"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2EC9D491"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Vd</w:t>
            </w:r>
          </w:p>
        </w:tc>
        <w:tc>
          <w:tcPr>
            <w:tcW w:w="941" w:type="dxa"/>
            <w:tcMar>
              <w:top w:w="100" w:type="dxa"/>
              <w:left w:w="150" w:type="dxa"/>
              <w:bottom w:w="100" w:type="dxa"/>
              <w:right w:w="150" w:type="dxa"/>
            </w:tcMar>
          </w:tcPr>
          <w:p w14:paraId="0FEC954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3</w:t>
            </w:r>
          </w:p>
        </w:tc>
        <w:tc>
          <w:tcPr>
            <w:tcW w:w="949" w:type="dxa"/>
            <w:tcMar>
              <w:top w:w="100" w:type="dxa"/>
              <w:left w:w="150" w:type="dxa"/>
              <w:bottom w:w="100" w:type="dxa"/>
              <w:right w:w="150" w:type="dxa"/>
            </w:tcMar>
          </w:tcPr>
          <w:p w14:paraId="02283731"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368</w:t>
            </w:r>
          </w:p>
        </w:tc>
        <w:tc>
          <w:tcPr>
            <w:tcW w:w="1000" w:type="dxa"/>
            <w:tcMar>
              <w:top w:w="100" w:type="dxa"/>
              <w:left w:w="150" w:type="dxa"/>
              <w:bottom w:w="100" w:type="dxa"/>
              <w:right w:w="150" w:type="dxa"/>
            </w:tcMar>
          </w:tcPr>
          <w:p w14:paraId="5BD9F73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68.7%</w:t>
            </w:r>
          </w:p>
        </w:tc>
        <w:tc>
          <w:tcPr>
            <w:tcW w:w="870" w:type="dxa"/>
            <w:tcMar>
              <w:top w:w="100" w:type="dxa"/>
              <w:left w:w="150" w:type="dxa"/>
              <w:bottom w:w="100" w:type="dxa"/>
              <w:right w:w="150" w:type="dxa"/>
            </w:tcMar>
          </w:tcPr>
          <w:p w14:paraId="53EDDD76"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63.8%</w:t>
            </w:r>
          </w:p>
        </w:tc>
        <w:tc>
          <w:tcPr>
            <w:tcW w:w="870" w:type="dxa"/>
            <w:tcMar>
              <w:top w:w="100" w:type="dxa"/>
              <w:left w:w="150" w:type="dxa"/>
              <w:bottom w:w="100" w:type="dxa"/>
              <w:right w:w="150" w:type="dxa"/>
            </w:tcMar>
          </w:tcPr>
          <w:p w14:paraId="6755D899"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73.2%</w:t>
            </w:r>
          </w:p>
        </w:tc>
        <w:tc>
          <w:tcPr>
            <w:tcW w:w="1210" w:type="dxa"/>
            <w:tcMar>
              <w:top w:w="100" w:type="dxa"/>
              <w:left w:w="150" w:type="dxa"/>
              <w:bottom w:w="100" w:type="dxa"/>
              <w:right w:w="150" w:type="dxa"/>
            </w:tcMar>
          </w:tcPr>
          <w:p w14:paraId="63635287"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Shimura 2023, Chen 2020, Zheng 2019</w:t>
            </w:r>
          </w:p>
        </w:tc>
      </w:tr>
      <w:tr w:rsidR="00717A20" w:rsidRPr="008E1CAD" w14:paraId="4E9E0083" w14:textId="77777777" w:rsidTr="00AA719D">
        <w:trPr>
          <w:jc w:val="center"/>
        </w:trPr>
        <w:tc>
          <w:tcPr>
            <w:tcW w:w="1190" w:type="dxa"/>
            <w:tcMar>
              <w:top w:w="100" w:type="dxa"/>
              <w:left w:w="150" w:type="dxa"/>
              <w:bottom w:w="100" w:type="dxa"/>
              <w:right w:w="150" w:type="dxa"/>
            </w:tcMar>
          </w:tcPr>
          <w:p w14:paraId="6A4B8ECA"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6FB1BC6A"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VTd</w:t>
            </w:r>
          </w:p>
        </w:tc>
        <w:tc>
          <w:tcPr>
            <w:tcW w:w="941" w:type="dxa"/>
            <w:tcMar>
              <w:top w:w="100" w:type="dxa"/>
              <w:left w:w="150" w:type="dxa"/>
              <w:bottom w:w="100" w:type="dxa"/>
              <w:right w:w="150" w:type="dxa"/>
            </w:tcMar>
          </w:tcPr>
          <w:p w14:paraId="109610F8"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w:t>
            </w:r>
          </w:p>
        </w:tc>
        <w:tc>
          <w:tcPr>
            <w:tcW w:w="949" w:type="dxa"/>
            <w:tcMar>
              <w:top w:w="100" w:type="dxa"/>
              <w:left w:w="150" w:type="dxa"/>
              <w:bottom w:w="100" w:type="dxa"/>
              <w:right w:w="150" w:type="dxa"/>
            </w:tcMar>
          </w:tcPr>
          <w:p w14:paraId="6815A14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267</w:t>
            </w:r>
          </w:p>
        </w:tc>
        <w:tc>
          <w:tcPr>
            <w:tcW w:w="1000" w:type="dxa"/>
            <w:tcMar>
              <w:top w:w="100" w:type="dxa"/>
              <w:left w:w="150" w:type="dxa"/>
              <w:bottom w:w="100" w:type="dxa"/>
              <w:right w:w="150" w:type="dxa"/>
            </w:tcMar>
          </w:tcPr>
          <w:p w14:paraId="20D920E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77.5%</w:t>
            </w:r>
          </w:p>
        </w:tc>
        <w:tc>
          <w:tcPr>
            <w:tcW w:w="870" w:type="dxa"/>
            <w:tcMar>
              <w:top w:w="100" w:type="dxa"/>
              <w:left w:w="150" w:type="dxa"/>
              <w:bottom w:w="100" w:type="dxa"/>
              <w:right w:w="150" w:type="dxa"/>
            </w:tcMar>
          </w:tcPr>
          <w:p w14:paraId="44D0C870"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64.8%</w:t>
            </w:r>
          </w:p>
        </w:tc>
        <w:tc>
          <w:tcPr>
            <w:tcW w:w="870" w:type="dxa"/>
            <w:tcMar>
              <w:top w:w="100" w:type="dxa"/>
              <w:left w:w="150" w:type="dxa"/>
              <w:bottom w:w="100" w:type="dxa"/>
              <w:right w:w="150" w:type="dxa"/>
            </w:tcMar>
          </w:tcPr>
          <w:p w14:paraId="18A64E3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86.6%</w:t>
            </w:r>
          </w:p>
        </w:tc>
        <w:tc>
          <w:tcPr>
            <w:tcW w:w="1210" w:type="dxa"/>
            <w:tcMar>
              <w:top w:w="100" w:type="dxa"/>
              <w:left w:w="150" w:type="dxa"/>
              <w:bottom w:w="100" w:type="dxa"/>
              <w:right w:w="150" w:type="dxa"/>
            </w:tcMar>
          </w:tcPr>
          <w:p w14:paraId="3F12C861"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Chen 2019, Li 2018, Liu 2022, Sun 2020</w:t>
            </w:r>
          </w:p>
        </w:tc>
      </w:tr>
      <w:tr w:rsidR="00717A20" w:rsidRPr="008E1CAD" w14:paraId="64A9FE8E" w14:textId="77777777" w:rsidTr="00AA719D">
        <w:trPr>
          <w:jc w:val="center"/>
        </w:trPr>
        <w:tc>
          <w:tcPr>
            <w:tcW w:w="1190" w:type="dxa"/>
            <w:tcMar>
              <w:top w:w="100" w:type="dxa"/>
              <w:left w:w="150" w:type="dxa"/>
              <w:bottom w:w="100" w:type="dxa"/>
              <w:right w:w="150" w:type="dxa"/>
            </w:tcMar>
          </w:tcPr>
          <w:p w14:paraId="1E86822D"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293CB0FF"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DRd</w:t>
            </w:r>
          </w:p>
        </w:tc>
        <w:tc>
          <w:tcPr>
            <w:tcW w:w="941" w:type="dxa"/>
            <w:tcMar>
              <w:top w:w="100" w:type="dxa"/>
              <w:left w:w="150" w:type="dxa"/>
              <w:bottom w:w="100" w:type="dxa"/>
              <w:right w:w="150" w:type="dxa"/>
            </w:tcMar>
          </w:tcPr>
          <w:p w14:paraId="185EE66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w:t>
            </w:r>
          </w:p>
        </w:tc>
        <w:tc>
          <w:tcPr>
            <w:tcW w:w="949" w:type="dxa"/>
            <w:tcMar>
              <w:top w:w="100" w:type="dxa"/>
              <w:left w:w="150" w:type="dxa"/>
              <w:bottom w:w="100" w:type="dxa"/>
              <w:right w:w="150" w:type="dxa"/>
            </w:tcMar>
          </w:tcPr>
          <w:p w14:paraId="0BB9C700"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126</w:t>
            </w:r>
          </w:p>
        </w:tc>
        <w:tc>
          <w:tcPr>
            <w:tcW w:w="1000" w:type="dxa"/>
            <w:tcMar>
              <w:top w:w="100" w:type="dxa"/>
              <w:left w:w="150" w:type="dxa"/>
              <w:bottom w:w="100" w:type="dxa"/>
              <w:right w:w="150" w:type="dxa"/>
            </w:tcMar>
          </w:tcPr>
          <w:p w14:paraId="71140CB6"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87.3%</w:t>
            </w:r>
          </w:p>
        </w:tc>
        <w:tc>
          <w:tcPr>
            <w:tcW w:w="870" w:type="dxa"/>
            <w:tcMar>
              <w:top w:w="100" w:type="dxa"/>
              <w:left w:w="150" w:type="dxa"/>
              <w:bottom w:w="100" w:type="dxa"/>
              <w:right w:w="150" w:type="dxa"/>
            </w:tcMar>
          </w:tcPr>
          <w:p w14:paraId="2938876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80.3%</w:t>
            </w:r>
          </w:p>
        </w:tc>
        <w:tc>
          <w:tcPr>
            <w:tcW w:w="870" w:type="dxa"/>
            <w:tcMar>
              <w:top w:w="100" w:type="dxa"/>
              <w:left w:w="150" w:type="dxa"/>
              <w:bottom w:w="100" w:type="dxa"/>
              <w:right w:w="150" w:type="dxa"/>
            </w:tcMar>
          </w:tcPr>
          <w:p w14:paraId="78B003E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92.1%</w:t>
            </w:r>
          </w:p>
        </w:tc>
        <w:tc>
          <w:tcPr>
            <w:tcW w:w="1210" w:type="dxa"/>
            <w:tcMar>
              <w:top w:w="100" w:type="dxa"/>
              <w:left w:w="150" w:type="dxa"/>
              <w:bottom w:w="100" w:type="dxa"/>
              <w:right w:w="150" w:type="dxa"/>
            </w:tcMar>
          </w:tcPr>
          <w:p w14:paraId="13920A83"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Atrash 2021a, Atrash 2021b, Belotti 2024, Iriuchishima 2024</w:t>
            </w:r>
          </w:p>
        </w:tc>
      </w:tr>
      <w:tr w:rsidR="008E6781" w:rsidRPr="008E1CAD" w14:paraId="2E90FB58" w14:textId="77777777" w:rsidTr="00AA719D">
        <w:trPr>
          <w:jc w:val="center"/>
        </w:trPr>
        <w:tc>
          <w:tcPr>
            <w:tcW w:w="8300" w:type="dxa"/>
            <w:gridSpan w:val="8"/>
            <w:tcMar>
              <w:top w:w="100" w:type="dxa"/>
              <w:left w:w="150" w:type="dxa"/>
              <w:bottom w:w="100" w:type="dxa"/>
              <w:right w:w="150" w:type="dxa"/>
            </w:tcMar>
          </w:tcPr>
          <w:p w14:paraId="33AA7D2D" w14:textId="63BAD758" w:rsidR="008E6781" w:rsidRPr="008E1CAD" w:rsidRDefault="008E6781" w:rsidP="00717A20">
            <w:pPr>
              <w:rPr>
                <w:rFonts w:ascii="Times New Roman" w:hAnsi="Times New Roman" w:cs="Times New Roman"/>
                <w:b/>
                <w:bCs/>
                <w:sz w:val="18"/>
                <w:szCs w:val="18"/>
              </w:rPr>
            </w:pPr>
            <w:r w:rsidRPr="008E1CAD">
              <w:rPr>
                <w:rFonts w:ascii="Times New Roman" w:hAnsi="Times New Roman" w:cs="Times New Roman"/>
                <w:b/>
                <w:bCs/>
                <w:sz w:val="18"/>
                <w:szCs w:val="18"/>
              </w:rPr>
              <w:t>Subsequent-</w:t>
            </w:r>
            <w:r w:rsidR="00090FCB" w:rsidRPr="008E1CAD">
              <w:rPr>
                <w:rFonts w:ascii="Times New Roman" w:hAnsi="Times New Roman" w:cs="Times New Roman"/>
                <w:b/>
                <w:bCs/>
                <w:sz w:val="18"/>
                <w:szCs w:val="18"/>
              </w:rPr>
              <w:t>line rescue induction response rate</w:t>
            </w:r>
          </w:p>
        </w:tc>
      </w:tr>
      <w:tr w:rsidR="00717A20" w:rsidRPr="008E1CAD" w14:paraId="7524EF84" w14:textId="77777777" w:rsidTr="00AA719D">
        <w:trPr>
          <w:jc w:val="center"/>
        </w:trPr>
        <w:tc>
          <w:tcPr>
            <w:tcW w:w="1190" w:type="dxa"/>
            <w:tcMar>
              <w:top w:w="100" w:type="dxa"/>
              <w:left w:w="150" w:type="dxa"/>
              <w:bottom w:w="100" w:type="dxa"/>
              <w:right w:w="150" w:type="dxa"/>
            </w:tcMar>
          </w:tcPr>
          <w:p w14:paraId="68978BEA" w14:textId="18DFCD75"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18DF734A"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DRd</w:t>
            </w:r>
          </w:p>
        </w:tc>
        <w:tc>
          <w:tcPr>
            <w:tcW w:w="941" w:type="dxa"/>
            <w:tcMar>
              <w:top w:w="100" w:type="dxa"/>
              <w:left w:w="150" w:type="dxa"/>
              <w:bottom w:w="100" w:type="dxa"/>
              <w:right w:w="150" w:type="dxa"/>
            </w:tcMar>
          </w:tcPr>
          <w:p w14:paraId="4F56AB3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3</w:t>
            </w:r>
          </w:p>
        </w:tc>
        <w:tc>
          <w:tcPr>
            <w:tcW w:w="949" w:type="dxa"/>
            <w:tcMar>
              <w:top w:w="100" w:type="dxa"/>
              <w:left w:w="150" w:type="dxa"/>
              <w:bottom w:w="100" w:type="dxa"/>
              <w:right w:w="150" w:type="dxa"/>
            </w:tcMar>
          </w:tcPr>
          <w:p w14:paraId="4AF2FB7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87</w:t>
            </w:r>
          </w:p>
        </w:tc>
        <w:tc>
          <w:tcPr>
            <w:tcW w:w="1000" w:type="dxa"/>
            <w:tcMar>
              <w:top w:w="100" w:type="dxa"/>
              <w:left w:w="150" w:type="dxa"/>
              <w:bottom w:w="100" w:type="dxa"/>
              <w:right w:w="150" w:type="dxa"/>
            </w:tcMar>
          </w:tcPr>
          <w:p w14:paraId="66A64E6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84.5%</w:t>
            </w:r>
          </w:p>
        </w:tc>
        <w:tc>
          <w:tcPr>
            <w:tcW w:w="870" w:type="dxa"/>
            <w:tcMar>
              <w:top w:w="100" w:type="dxa"/>
              <w:left w:w="150" w:type="dxa"/>
              <w:bottom w:w="100" w:type="dxa"/>
              <w:right w:w="150" w:type="dxa"/>
            </w:tcMar>
          </w:tcPr>
          <w:p w14:paraId="151A085B"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55.2%</w:t>
            </w:r>
          </w:p>
        </w:tc>
        <w:tc>
          <w:tcPr>
            <w:tcW w:w="870" w:type="dxa"/>
            <w:tcMar>
              <w:top w:w="100" w:type="dxa"/>
              <w:left w:w="150" w:type="dxa"/>
              <w:bottom w:w="100" w:type="dxa"/>
              <w:right w:w="150" w:type="dxa"/>
            </w:tcMar>
          </w:tcPr>
          <w:p w14:paraId="22BF3D1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96.0%</w:t>
            </w:r>
          </w:p>
        </w:tc>
        <w:tc>
          <w:tcPr>
            <w:tcW w:w="1210" w:type="dxa"/>
            <w:tcMar>
              <w:top w:w="100" w:type="dxa"/>
              <w:left w:w="150" w:type="dxa"/>
              <w:bottom w:w="100" w:type="dxa"/>
              <w:right w:w="150" w:type="dxa"/>
            </w:tcMar>
          </w:tcPr>
          <w:p w14:paraId="1D9841E7"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 xml:space="preserve">Chiu 2023, Sunami </w:t>
            </w:r>
            <w:r w:rsidRPr="008E1CAD">
              <w:rPr>
                <w:rFonts w:ascii="Times New Roman" w:hAnsi="Times New Roman" w:cs="Times New Roman"/>
                <w:sz w:val="18"/>
                <w:szCs w:val="18"/>
              </w:rPr>
              <w:lastRenderedPageBreak/>
              <w:t>2020, Liu 2021a</w:t>
            </w:r>
          </w:p>
        </w:tc>
      </w:tr>
      <w:tr w:rsidR="00717A20" w:rsidRPr="008E1CAD" w14:paraId="3ABA5C0C" w14:textId="77777777" w:rsidTr="00AA719D">
        <w:trPr>
          <w:jc w:val="center"/>
        </w:trPr>
        <w:tc>
          <w:tcPr>
            <w:tcW w:w="1190" w:type="dxa"/>
            <w:tcMar>
              <w:top w:w="100" w:type="dxa"/>
              <w:left w:w="150" w:type="dxa"/>
              <w:bottom w:w="100" w:type="dxa"/>
              <w:right w:w="150" w:type="dxa"/>
            </w:tcMar>
          </w:tcPr>
          <w:p w14:paraId="2505886D"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604F7F9C"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DPd</w:t>
            </w:r>
          </w:p>
        </w:tc>
        <w:tc>
          <w:tcPr>
            <w:tcW w:w="941" w:type="dxa"/>
            <w:tcMar>
              <w:top w:w="100" w:type="dxa"/>
              <w:left w:w="150" w:type="dxa"/>
              <w:bottom w:w="100" w:type="dxa"/>
              <w:right w:w="150" w:type="dxa"/>
            </w:tcMar>
          </w:tcPr>
          <w:p w14:paraId="64DF5E7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3</w:t>
            </w:r>
          </w:p>
        </w:tc>
        <w:tc>
          <w:tcPr>
            <w:tcW w:w="949" w:type="dxa"/>
            <w:tcMar>
              <w:top w:w="100" w:type="dxa"/>
              <w:left w:w="150" w:type="dxa"/>
              <w:bottom w:w="100" w:type="dxa"/>
              <w:right w:w="150" w:type="dxa"/>
            </w:tcMar>
          </w:tcPr>
          <w:p w14:paraId="68389A94"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54</w:t>
            </w:r>
          </w:p>
        </w:tc>
        <w:tc>
          <w:tcPr>
            <w:tcW w:w="1000" w:type="dxa"/>
            <w:tcMar>
              <w:top w:w="100" w:type="dxa"/>
              <w:left w:w="150" w:type="dxa"/>
              <w:bottom w:w="100" w:type="dxa"/>
              <w:right w:w="150" w:type="dxa"/>
            </w:tcMar>
          </w:tcPr>
          <w:p w14:paraId="5E8F104E"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75.9%</w:t>
            </w:r>
          </w:p>
        </w:tc>
        <w:tc>
          <w:tcPr>
            <w:tcW w:w="870" w:type="dxa"/>
            <w:tcMar>
              <w:top w:w="100" w:type="dxa"/>
              <w:left w:w="150" w:type="dxa"/>
              <w:bottom w:w="100" w:type="dxa"/>
              <w:right w:w="150" w:type="dxa"/>
            </w:tcMar>
          </w:tcPr>
          <w:p w14:paraId="317179C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62.8%</w:t>
            </w:r>
          </w:p>
        </w:tc>
        <w:tc>
          <w:tcPr>
            <w:tcW w:w="870" w:type="dxa"/>
            <w:tcMar>
              <w:top w:w="100" w:type="dxa"/>
              <w:left w:w="150" w:type="dxa"/>
              <w:bottom w:w="100" w:type="dxa"/>
              <w:right w:w="150" w:type="dxa"/>
            </w:tcMar>
          </w:tcPr>
          <w:p w14:paraId="695A4B71"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85.5%</w:t>
            </w:r>
          </w:p>
        </w:tc>
        <w:tc>
          <w:tcPr>
            <w:tcW w:w="1210" w:type="dxa"/>
            <w:tcMar>
              <w:top w:w="100" w:type="dxa"/>
              <w:left w:w="150" w:type="dxa"/>
              <w:bottom w:w="100" w:type="dxa"/>
              <w:right w:w="150" w:type="dxa"/>
            </w:tcMar>
          </w:tcPr>
          <w:p w14:paraId="480D2111"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Han 2023, Han 2024, Lu 2023</w:t>
            </w:r>
          </w:p>
        </w:tc>
      </w:tr>
      <w:tr w:rsidR="00717A20" w:rsidRPr="008E1CAD" w14:paraId="2FA40853" w14:textId="77777777" w:rsidTr="00AA719D">
        <w:trPr>
          <w:jc w:val="center"/>
        </w:trPr>
        <w:tc>
          <w:tcPr>
            <w:tcW w:w="1190" w:type="dxa"/>
            <w:tcMar>
              <w:top w:w="100" w:type="dxa"/>
              <w:left w:w="150" w:type="dxa"/>
              <w:bottom w:w="100" w:type="dxa"/>
              <w:right w:w="150" w:type="dxa"/>
            </w:tcMar>
          </w:tcPr>
          <w:p w14:paraId="1A6A0E28"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71ADC72E"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Dd</w:t>
            </w:r>
          </w:p>
        </w:tc>
        <w:tc>
          <w:tcPr>
            <w:tcW w:w="941" w:type="dxa"/>
            <w:tcMar>
              <w:top w:w="100" w:type="dxa"/>
              <w:left w:w="150" w:type="dxa"/>
              <w:bottom w:w="100" w:type="dxa"/>
              <w:right w:w="150" w:type="dxa"/>
            </w:tcMar>
          </w:tcPr>
          <w:p w14:paraId="32BF27D2"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w:t>
            </w:r>
          </w:p>
        </w:tc>
        <w:tc>
          <w:tcPr>
            <w:tcW w:w="949" w:type="dxa"/>
            <w:tcMar>
              <w:top w:w="100" w:type="dxa"/>
              <w:left w:w="150" w:type="dxa"/>
              <w:bottom w:w="100" w:type="dxa"/>
              <w:right w:w="150" w:type="dxa"/>
            </w:tcMar>
          </w:tcPr>
          <w:p w14:paraId="6A6783B8"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w:t>
            </w:r>
          </w:p>
        </w:tc>
        <w:tc>
          <w:tcPr>
            <w:tcW w:w="1000" w:type="dxa"/>
            <w:tcMar>
              <w:top w:w="100" w:type="dxa"/>
              <w:left w:w="150" w:type="dxa"/>
              <w:bottom w:w="100" w:type="dxa"/>
              <w:right w:w="150" w:type="dxa"/>
            </w:tcMar>
          </w:tcPr>
          <w:p w14:paraId="20352148"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28.6%</w:t>
            </w:r>
          </w:p>
        </w:tc>
        <w:tc>
          <w:tcPr>
            <w:tcW w:w="870" w:type="dxa"/>
            <w:tcMar>
              <w:top w:w="100" w:type="dxa"/>
              <w:left w:w="150" w:type="dxa"/>
              <w:bottom w:w="100" w:type="dxa"/>
              <w:right w:w="150" w:type="dxa"/>
            </w:tcMar>
          </w:tcPr>
          <w:p w14:paraId="314A8F2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7.2%</w:t>
            </w:r>
          </w:p>
        </w:tc>
        <w:tc>
          <w:tcPr>
            <w:tcW w:w="870" w:type="dxa"/>
            <w:tcMar>
              <w:top w:w="100" w:type="dxa"/>
              <w:left w:w="150" w:type="dxa"/>
              <w:bottom w:w="100" w:type="dxa"/>
              <w:right w:w="150" w:type="dxa"/>
            </w:tcMar>
          </w:tcPr>
          <w:p w14:paraId="1463071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67.3%</w:t>
            </w:r>
          </w:p>
        </w:tc>
        <w:tc>
          <w:tcPr>
            <w:tcW w:w="1210" w:type="dxa"/>
            <w:tcMar>
              <w:top w:w="100" w:type="dxa"/>
              <w:left w:w="150" w:type="dxa"/>
              <w:bottom w:w="100" w:type="dxa"/>
              <w:right w:w="150" w:type="dxa"/>
            </w:tcMar>
          </w:tcPr>
          <w:p w14:paraId="3613C61D"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Liu 2021a</w:t>
            </w:r>
          </w:p>
        </w:tc>
      </w:tr>
      <w:tr w:rsidR="00717A20" w:rsidRPr="008E1CAD" w14:paraId="7D4C0F25" w14:textId="77777777" w:rsidTr="00AA719D">
        <w:trPr>
          <w:jc w:val="center"/>
        </w:trPr>
        <w:tc>
          <w:tcPr>
            <w:tcW w:w="1190" w:type="dxa"/>
            <w:tcMar>
              <w:top w:w="100" w:type="dxa"/>
              <w:left w:w="150" w:type="dxa"/>
              <w:bottom w:w="100" w:type="dxa"/>
              <w:right w:w="150" w:type="dxa"/>
            </w:tcMar>
          </w:tcPr>
          <w:p w14:paraId="42E01E10"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2AEE1159"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Dara Monotherapy</w:t>
            </w:r>
          </w:p>
        </w:tc>
        <w:tc>
          <w:tcPr>
            <w:tcW w:w="941" w:type="dxa"/>
            <w:tcMar>
              <w:top w:w="100" w:type="dxa"/>
              <w:left w:w="150" w:type="dxa"/>
              <w:bottom w:w="100" w:type="dxa"/>
              <w:right w:w="150" w:type="dxa"/>
            </w:tcMar>
          </w:tcPr>
          <w:p w14:paraId="0A1C4C64"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w:t>
            </w:r>
          </w:p>
        </w:tc>
        <w:tc>
          <w:tcPr>
            <w:tcW w:w="949" w:type="dxa"/>
            <w:tcMar>
              <w:top w:w="100" w:type="dxa"/>
              <w:left w:w="150" w:type="dxa"/>
              <w:bottom w:w="100" w:type="dxa"/>
              <w:right w:w="150" w:type="dxa"/>
            </w:tcMar>
          </w:tcPr>
          <w:p w14:paraId="7AAB4F9F"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50</w:t>
            </w:r>
          </w:p>
        </w:tc>
        <w:tc>
          <w:tcPr>
            <w:tcW w:w="1000" w:type="dxa"/>
            <w:tcMar>
              <w:top w:w="100" w:type="dxa"/>
              <w:left w:w="150" w:type="dxa"/>
              <w:bottom w:w="100" w:type="dxa"/>
              <w:right w:w="150" w:type="dxa"/>
            </w:tcMar>
          </w:tcPr>
          <w:p w14:paraId="191A88E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54.0%</w:t>
            </w:r>
          </w:p>
        </w:tc>
        <w:tc>
          <w:tcPr>
            <w:tcW w:w="870" w:type="dxa"/>
            <w:tcMar>
              <w:top w:w="100" w:type="dxa"/>
              <w:left w:w="150" w:type="dxa"/>
              <w:bottom w:w="100" w:type="dxa"/>
              <w:right w:w="150" w:type="dxa"/>
            </w:tcMar>
          </w:tcPr>
          <w:p w14:paraId="2A03401E"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40.2%</w:t>
            </w:r>
          </w:p>
        </w:tc>
        <w:tc>
          <w:tcPr>
            <w:tcW w:w="870" w:type="dxa"/>
            <w:tcMar>
              <w:top w:w="100" w:type="dxa"/>
              <w:left w:w="150" w:type="dxa"/>
              <w:bottom w:w="100" w:type="dxa"/>
              <w:right w:w="150" w:type="dxa"/>
            </w:tcMar>
          </w:tcPr>
          <w:p w14:paraId="59BF80D6"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67.2%</w:t>
            </w:r>
          </w:p>
        </w:tc>
        <w:tc>
          <w:tcPr>
            <w:tcW w:w="1210" w:type="dxa"/>
            <w:tcMar>
              <w:top w:w="100" w:type="dxa"/>
              <w:left w:w="150" w:type="dxa"/>
              <w:bottom w:w="100" w:type="dxa"/>
              <w:right w:w="150" w:type="dxa"/>
            </w:tcMar>
          </w:tcPr>
          <w:p w14:paraId="22BE6597"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Cho 2023</w:t>
            </w:r>
          </w:p>
        </w:tc>
      </w:tr>
      <w:tr w:rsidR="00717A20" w:rsidRPr="008E1CAD" w14:paraId="399E2046" w14:textId="77777777" w:rsidTr="00AA719D">
        <w:trPr>
          <w:jc w:val="center"/>
        </w:trPr>
        <w:tc>
          <w:tcPr>
            <w:tcW w:w="1190" w:type="dxa"/>
            <w:tcMar>
              <w:top w:w="100" w:type="dxa"/>
              <w:left w:w="150" w:type="dxa"/>
              <w:bottom w:w="100" w:type="dxa"/>
              <w:right w:w="150" w:type="dxa"/>
            </w:tcMar>
          </w:tcPr>
          <w:p w14:paraId="69EDEE9B"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67E7AD5D"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VPd</w:t>
            </w:r>
          </w:p>
        </w:tc>
        <w:tc>
          <w:tcPr>
            <w:tcW w:w="941" w:type="dxa"/>
            <w:tcMar>
              <w:top w:w="100" w:type="dxa"/>
              <w:left w:w="150" w:type="dxa"/>
              <w:bottom w:w="100" w:type="dxa"/>
              <w:right w:w="150" w:type="dxa"/>
            </w:tcMar>
          </w:tcPr>
          <w:p w14:paraId="3DF2A8B2"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2</w:t>
            </w:r>
          </w:p>
        </w:tc>
        <w:tc>
          <w:tcPr>
            <w:tcW w:w="949" w:type="dxa"/>
            <w:tcMar>
              <w:top w:w="100" w:type="dxa"/>
              <w:left w:w="150" w:type="dxa"/>
              <w:bottom w:w="100" w:type="dxa"/>
              <w:right w:w="150" w:type="dxa"/>
            </w:tcMar>
          </w:tcPr>
          <w:p w14:paraId="213E7B5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78</w:t>
            </w:r>
          </w:p>
        </w:tc>
        <w:tc>
          <w:tcPr>
            <w:tcW w:w="1000" w:type="dxa"/>
            <w:tcMar>
              <w:top w:w="100" w:type="dxa"/>
              <w:left w:w="150" w:type="dxa"/>
              <w:bottom w:w="100" w:type="dxa"/>
              <w:right w:w="150" w:type="dxa"/>
            </w:tcMar>
          </w:tcPr>
          <w:p w14:paraId="750DDDA4"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82.0%</w:t>
            </w:r>
          </w:p>
        </w:tc>
        <w:tc>
          <w:tcPr>
            <w:tcW w:w="870" w:type="dxa"/>
            <w:tcMar>
              <w:top w:w="100" w:type="dxa"/>
              <w:left w:w="150" w:type="dxa"/>
              <w:bottom w:w="100" w:type="dxa"/>
              <w:right w:w="150" w:type="dxa"/>
            </w:tcMar>
          </w:tcPr>
          <w:p w14:paraId="2FFCC92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67.8%</w:t>
            </w:r>
          </w:p>
        </w:tc>
        <w:tc>
          <w:tcPr>
            <w:tcW w:w="870" w:type="dxa"/>
            <w:tcMar>
              <w:top w:w="100" w:type="dxa"/>
              <w:left w:w="150" w:type="dxa"/>
              <w:bottom w:w="100" w:type="dxa"/>
              <w:right w:w="150" w:type="dxa"/>
            </w:tcMar>
          </w:tcPr>
          <w:p w14:paraId="0FBD984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90.8%</w:t>
            </w:r>
          </w:p>
        </w:tc>
        <w:tc>
          <w:tcPr>
            <w:tcW w:w="1210" w:type="dxa"/>
            <w:tcMar>
              <w:top w:w="100" w:type="dxa"/>
              <w:left w:w="150" w:type="dxa"/>
              <w:bottom w:w="100" w:type="dxa"/>
              <w:right w:w="150" w:type="dxa"/>
            </w:tcMar>
          </w:tcPr>
          <w:p w14:paraId="77880E6B" w14:textId="5EE1844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Lu 2023, Wang 2023</w:t>
            </w:r>
            <w:r w:rsidR="00791E18">
              <w:rPr>
                <w:rFonts w:ascii="Times New Roman" w:hAnsi="Times New Roman" w:cs="Times New Roman" w:hint="eastAsia"/>
                <w:sz w:val="18"/>
                <w:szCs w:val="18"/>
              </w:rPr>
              <w:t>a</w:t>
            </w:r>
          </w:p>
        </w:tc>
      </w:tr>
      <w:tr w:rsidR="00717A20" w:rsidRPr="008E1CAD" w14:paraId="3A93B2A3" w14:textId="77777777" w:rsidTr="00AA719D">
        <w:trPr>
          <w:jc w:val="center"/>
        </w:trPr>
        <w:tc>
          <w:tcPr>
            <w:tcW w:w="1190" w:type="dxa"/>
            <w:tcMar>
              <w:top w:w="100" w:type="dxa"/>
              <w:left w:w="150" w:type="dxa"/>
              <w:bottom w:w="100" w:type="dxa"/>
              <w:right w:w="150" w:type="dxa"/>
            </w:tcMar>
          </w:tcPr>
          <w:p w14:paraId="0248EB96"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428277EA"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VCd</w:t>
            </w:r>
          </w:p>
        </w:tc>
        <w:tc>
          <w:tcPr>
            <w:tcW w:w="941" w:type="dxa"/>
            <w:tcMar>
              <w:top w:w="100" w:type="dxa"/>
              <w:left w:w="150" w:type="dxa"/>
              <w:bottom w:w="100" w:type="dxa"/>
              <w:right w:w="150" w:type="dxa"/>
            </w:tcMar>
          </w:tcPr>
          <w:p w14:paraId="223F1C1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w:t>
            </w:r>
          </w:p>
        </w:tc>
        <w:tc>
          <w:tcPr>
            <w:tcW w:w="949" w:type="dxa"/>
            <w:tcMar>
              <w:top w:w="100" w:type="dxa"/>
              <w:left w:w="150" w:type="dxa"/>
              <w:bottom w:w="100" w:type="dxa"/>
              <w:right w:w="150" w:type="dxa"/>
            </w:tcMar>
          </w:tcPr>
          <w:p w14:paraId="6A262F51"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11</w:t>
            </w:r>
          </w:p>
        </w:tc>
        <w:tc>
          <w:tcPr>
            <w:tcW w:w="1000" w:type="dxa"/>
            <w:tcMar>
              <w:top w:w="100" w:type="dxa"/>
              <w:left w:w="150" w:type="dxa"/>
              <w:bottom w:w="100" w:type="dxa"/>
              <w:right w:w="150" w:type="dxa"/>
            </w:tcMar>
          </w:tcPr>
          <w:p w14:paraId="55F22BC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81.8%</w:t>
            </w:r>
          </w:p>
        </w:tc>
        <w:tc>
          <w:tcPr>
            <w:tcW w:w="870" w:type="dxa"/>
            <w:tcMar>
              <w:top w:w="100" w:type="dxa"/>
              <w:left w:w="150" w:type="dxa"/>
              <w:bottom w:w="100" w:type="dxa"/>
              <w:right w:w="150" w:type="dxa"/>
            </w:tcMar>
          </w:tcPr>
          <w:p w14:paraId="4685C2E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49.3%</w:t>
            </w:r>
          </w:p>
        </w:tc>
        <w:tc>
          <w:tcPr>
            <w:tcW w:w="870" w:type="dxa"/>
            <w:tcMar>
              <w:top w:w="100" w:type="dxa"/>
              <w:left w:w="150" w:type="dxa"/>
              <w:bottom w:w="100" w:type="dxa"/>
              <w:right w:w="150" w:type="dxa"/>
            </w:tcMar>
          </w:tcPr>
          <w:p w14:paraId="14935424"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95.4%</w:t>
            </w:r>
          </w:p>
        </w:tc>
        <w:tc>
          <w:tcPr>
            <w:tcW w:w="1210" w:type="dxa"/>
            <w:tcMar>
              <w:top w:w="100" w:type="dxa"/>
              <w:left w:w="150" w:type="dxa"/>
              <w:bottom w:w="100" w:type="dxa"/>
              <w:right w:w="150" w:type="dxa"/>
            </w:tcMar>
          </w:tcPr>
          <w:p w14:paraId="730FA757"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Han 2019</w:t>
            </w:r>
          </w:p>
        </w:tc>
      </w:tr>
      <w:tr w:rsidR="00717A20" w:rsidRPr="008E1CAD" w14:paraId="13912790" w14:textId="77777777" w:rsidTr="00AA719D">
        <w:trPr>
          <w:jc w:val="center"/>
        </w:trPr>
        <w:tc>
          <w:tcPr>
            <w:tcW w:w="1190" w:type="dxa"/>
            <w:tcMar>
              <w:top w:w="100" w:type="dxa"/>
              <w:left w:w="150" w:type="dxa"/>
              <w:bottom w:w="100" w:type="dxa"/>
              <w:right w:w="150" w:type="dxa"/>
            </w:tcMar>
          </w:tcPr>
          <w:p w14:paraId="4F38DEC5"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53C71750"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Pd</w:t>
            </w:r>
          </w:p>
        </w:tc>
        <w:tc>
          <w:tcPr>
            <w:tcW w:w="941" w:type="dxa"/>
            <w:tcMar>
              <w:top w:w="100" w:type="dxa"/>
              <w:left w:w="150" w:type="dxa"/>
              <w:bottom w:w="100" w:type="dxa"/>
              <w:right w:w="150" w:type="dxa"/>
            </w:tcMar>
          </w:tcPr>
          <w:p w14:paraId="17D6398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3</w:t>
            </w:r>
          </w:p>
        </w:tc>
        <w:tc>
          <w:tcPr>
            <w:tcW w:w="949" w:type="dxa"/>
            <w:tcMar>
              <w:top w:w="100" w:type="dxa"/>
              <w:left w:w="150" w:type="dxa"/>
              <w:bottom w:w="100" w:type="dxa"/>
              <w:right w:w="150" w:type="dxa"/>
            </w:tcMar>
          </w:tcPr>
          <w:p w14:paraId="106A6F6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164</w:t>
            </w:r>
          </w:p>
        </w:tc>
        <w:tc>
          <w:tcPr>
            <w:tcW w:w="1000" w:type="dxa"/>
            <w:tcMar>
              <w:top w:w="100" w:type="dxa"/>
              <w:left w:w="150" w:type="dxa"/>
              <w:bottom w:w="100" w:type="dxa"/>
              <w:right w:w="150" w:type="dxa"/>
            </w:tcMar>
          </w:tcPr>
          <w:p w14:paraId="5E40771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51.8%</w:t>
            </w:r>
          </w:p>
        </w:tc>
        <w:tc>
          <w:tcPr>
            <w:tcW w:w="870" w:type="dxa"/>
            <w:tcMar>
              <w:top w:w="100" w:type="dxa"/>
              <w:left w:w="150" w:type="dxa"/>
              <w:bottom w:w="100" w:type="dxa"/>
              <w:right w:w="150" w:type="dxa"/>
            </w:tcMar>
          </w:tcPr>
          <w:p w14:paraId="6A25A1CB"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29.6%</w:t>
            </w:r>
          </w:p>
        </w:tc>
        <w:tc>
          <w:tcPr>
            <w:tcW w:w="870" w:type="dxa"/>
            <w:tcMar>
              <w:top w:w="100" w:type="dxa"/>
              <w:left w:w="150" w:type="dxa"/>
              <w:bottom w:w="100" w:type="dxa"/>
              <w:right w:w="150" w:type="dxa"/>
            </w:tcMar>
          </w:tcPr>
          <w:p w14:paraId="40BCCCE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73.3%</w:t>
            </w:r>
          </w:p>
        </w:tc>
        <w:tc>
          <w:tcPr>
            <w:tcW w:w="1210" w:type="dxa"/>
            <w:tcMar>
              <w:top w:w="100" w:type="dxa"/>
              <w:left w:w="150" w:type="dxa"/>
              <w:bottom w:w="100" w:type="dxa"/>
              <w:right w:w="150" w:type="dxa"/>
            </w:tcMar>
          </w:tcPr>
          <w:p w14:paraId="260E7452"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Hung 2021, Lee 2019, Li 2023</w:t>
            </w:r>
          </w:p>
        </w:tc>
      </w:tr>
      <w:tr w:rsidR="00717A20" w:rsidRPr="008E1CAD" w14:paraId="30C70AD1" w14:textId="77777777" w:rsidTr="00AA719D">
        <w:trPr>
          <w:jc w:val="center"/>
        </w:trPr>
        <w:tc>
          <w:tcPr>
            <w:tcW w:w="1190" w:type="dxa"/>
            <w:tcMar>
              <w:top w:w="100" w:type="dxa"/>
              <w:left w:w="150" w:type="dxa"/>
              <w:bottom w:w="100" w:type="dxa"/>
              <w:right w:w="150" w:type="dxa"/>
            </w:tcMar>
          </w:tcPr>
          <w:p w14:paraId="42A77483"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2D2D9E15"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KRd</w:t>
            </w:r>
          </w:p>
        </w:tc>
        <w:tc>
          <w:tcPr>
            <w:tcW w:w="941" w:type="dxa"/>
            <w:tcMar>
              <w:top w:w="100" w:type="dxa"/>
              <w:left w:w="150" w:type="dxa"/>
              <w:bottom w:w="100" w:type="dxa"/>
              <w:right w:w="150" w:type="dxa"/>
            </w:tcMar>
          </w:tcPr>
          <w:p w14:paraId="4A1652F6"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w:t>
            </w:r>
          </w:p>
        </w:tc>
        <w:tc>
          <w:tcPr>
            <w:tcW w:w="949" w:type="dxa"/>
            <w:tcMar>
              <w:top w:w="100" w:type="dxa"/>
              <w:left w:w="150" w:type="dxa"/>
              <w:bottom w:w="100" w:type="dxa"/>
              <w:right w:w="150" w:type="dxa"/>
            </w:tcMar>
          </w:tcPr>
          <w:p w14:paraId="55797E35"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1077</w:t>
            </w:r>
          </w:p>
        </w:tc>
        <w:tc>
          <w:tcPr>
            <w:tcW w:w="1000" w:type="dxa"/>
            <w:tcMar>
              <w:top w:w="100" w:type="dxa"/>
              <w:left w:w="150" w:type="dxa"/>
              <w:bottom w:w="100" w:type="dxa"/>
              <w:right w:w="150" w:type="dxa"/>
            </w:tcMar>
          </w:tcPr>
          <w:p w14:paraId="30EBA51A"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82.9%</w:t>
            </w:r>
          </w:p>
        </w:tc>
        <w:tc>
          <w:tcPr>
            <w:tcW w:w="870" w:type="dxa"/>
            <w:tcMar>
              <w:top w:w="100" w:type="dxa"/>
              <w:left w:w="150" w:type="dxa"/>
              <w:bottom w:w="100" w:type="dxa"/>
              <w:right w:w="150" w:type="dxa"/>
            </w:tcMar>
          </w:tcPr>
          <w:p w14:paraId="5B2994DC"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64.1%</w:t>
            </w:r>
          </w:p>
        </w:tc>
        <w:tc>
          <w:tcPr>
            <w:tcW w:w="870" w:type="dxa"/>
            <w:tcMar>
              <w:top w:w="100" w:type="dxa"/>
              <w:left w:w="150" w:type="dxa"/>
              <w:bottom w:w="100" w:type="dxa"/>
              <w:right w:w="150" w:type="dxa"/>
            </w:tcMar>
          </w:tcPr>
          <w:p w14:paraId="6540A186"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93.0%</w:t>
            </w:r>
          </w:p>
        </w:tc>
        <w:tc>
          <w:tcPr>
            <w:tcW w:w="1210" w:type="dxa"/>
            <w:tcMar>
              <w:top w:w="100" w:type="dxa"/>
              <w:left w:w="150" w:type="dxa"/>
              <w:bottom w:w="100" w:type="dxa"/>
              <w:right w:w="150" w:type="dxa"/>
            </w:tcMar>
          </w:tcPr>
          <w:p w14:paraId="7B817734"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Jeon 2019, Kawaji-Kanayama 2022, Kawasaki 2022, Lee 2021, Lee 2023, Yoroidaka 2023</w:t>
            </w:r>
          </w:p>
        </w:tc>
      </w:tr>
      <w:tr w:rsidR="00717A20" w:rsidRPr="008E1CAD" w14:paraId="5BC3ABF1" w14:textId="77777777" w:rsidTr="00AA719D">
        <w:trPr>
          <w:jc w:val="center"/>
        </w:trPr>
        <w:tc>
          <w:tcPr>
            <w:tcW w:w="1190" w:type="dxa"/>
            <w:tcMar>
              <w:top w:w="100" w:type="dxa"/>
              <w:left w:w="150" w:type="dxa"/>
              <w:bottom w:w="100" w:type="dxa"/>
              <w:right w:w="150" w:type="dxa"/>
            </w:tcMar>
          </w:tcPr>
          <w:p w14:paraId="5EF6B064"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38D9DC92"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Kd</w:t>
            </w:r>
          </w:p>
        </w:tc>
        <w:tc>
          <w:tcPr>
            <w:tcW w:w="941" w:type="dxa"/>
            <w:tcMar>
              <w:top w:w="100" w:type="dxa"/>
              <w:left w:w="150" w:type="dxa"/>
              <w:bottom w:w="100" w:type="dxa"/>
              <w:right w:w="150" w:type="dxa"/>
            </w:tcMar>
          </w:tcPr>
          <w:p w14:paraId="18EFAAA1"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w:t>
            </w:r>
          </w:p>
        </w:tc>
        <w:tc>
          <w:tcPr>
            <w:tcW w:w="949" w:type="dxa"/>
            <w:tcMar>
              <w:top w:w="100" w:type="dxa"/>
              <w:left w:w="150" w:type="dxa"/>
              <w:bottom w:w="100" w:type="dxa"/>
              <w:right w:w="150" w:type="dxa"/>
            </w:tcMar>
          </w:tcPr>
          <w:p w14:paraId="3D7190F2"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184</w:t>
            </w:r>
          </w:p>
        </w:tc>
        <w:tc>
          <w:tcPr>
            <w:tcW w:w="1000" w:type="dxa"/>
            <w:tcMar>
              <w:top w:w="100" w:type="dxa"/>
              <w:left w:w="150" w:type="dxa"/>
              <w:bottom w:w="100" w:type="dxa"/>
              <w:right w:w="150" w:type="dxa"/>
            </w:tcMar>
          </w:tcPr>
          <w:p w14:paraId="48D25F11"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64.6%</w:t>
            </w:r>
          </w:p>
        </w:tc>
        <w:tc>
          <w:tcPr>
            <w:tcW w:w="870" w:type="dxa"/>
            <w:tcMar>
              <w:top w:w="100" w:type="dxa"/>
              <w:left w:w="150" w:type="dxa"/>
              <w:bottom w:w="100" w:type="dxa"/>
              <w:right w:w="150" w:type="dxa"/>
            </w:tcMar>
          </w:tcPr>
          <w:p w14:paraId="4995F022"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46.7%</w:t>
            </w:r>
          </w:p>
        </w:tc>
        <w:tc>
          <w:tcPr>
            <w:tcW w:w="870" w:type="dxa"/>
            <w:tcMar>
              <w:top w:w="100" w:type="dxa"/>
              <w:left w:w="150" w:type="dxa"/>
              <w:bottom w:w="100" w:type="dxa"/>
              <w:right w:w="150" w:type="dxa"/>
            </w:tcMar>
          </w:tcPr>
          <w:p w14:paraId="182A23D7"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79.1%</w:t>
            </w:r>
          </w:p>
        </w:tc>
        <w:tc>
          <w:tcPr>
            <w:tcW w:w="1210" w:type="dxa"/>
            <w:tcMar>
              <w:top w:w="100" w:type="dxa"/>
              <w:left w:w="150" w:type="dxa"/>
              <w:bottom w:w="100" w:type="dxa"/>
              <w:right w:w="150" w:type="dxa"/>
            </w:tcMar>
          </w:tcPr>
          <w:p w14:paraId="23ADC0A1"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Abe 2024, Jeon 2019, Kawaji-Kanayama 2022, Lee 2019</w:t>
            </w:r>
          </w:p>
        </w:tc>
      </w:tr>
      <w:tr w:rsidR="00717A20" w:rsidRPr="008E1CAD" w14:paraId="3E299491" w14:textId="77777777" w:rsidTr="00AA719D">
        <w:trPr>
          <w:jc w:val="center"/>
        </w:trPr>
        <w:tc>
          <w:tcPr>
            <w:tcW w:w="1190" w:type="dxa"/>
            <w:tcMar>
              <w:top w:w="100" w:type="dxa"/>
              <w:left w:w="150" w:type="dxa"/>
              <w:bottom w:w="100" w:type="dxa"/>
              <w:right w:w="150" w:type="dxa"/>
            </w:tcMar>
          </w:tcPr>
          <w:p w14:paraId="7CA81304" w14:textId="77777777" w:rsidR="00717A20" w:rsidRPr="008E1CAD" w:rsidRDefault="00717A20" w:rsidP="00717A20">
            <w:pPr>
              <w:rPr>
                <w:rFonts w:ascii="Times New Roman" w:hAnsi="Times New Roman" w:cs="Times New Roman"/>
                <w:sz w:val="18"/>
                <w:szCs w:val="18"/>
              </w:rPr>
            </w:pPr>
          </w:p>
        </w:tc>
        <w:tc>
          <w:tcPr>
            <w:tcW w:w="1270" w:type="dxa"/>
            <w:tcMar>
              <w:top w:w="100" w:type="dxa"/>
              <w:left w:w="150" w:type="dxa"/>
              <w:bottom w:w="100" w:type="dxa"/>
              <w:right w:w="150" w:type="dxa"/>
            </w:tcMar>
          </w:tcPr>
          <w:p w14:paraId="56EE71D2"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Rd</w:t>
            </w:r>
          </w:p>
        </w:tc>
        <w:tc>
          <w:tcPr>
            <w:tcW w:w="941" w:type="dxa"/>
            <w:tcMar>
              <w:top w:w="100" w:type="dxa"/>
              <w:left w:w="150" w:type="dxa"/>
              <w:bottom w:w="100" w:type="dxa"/>
              <w:right w:w="150" w:type="dxa"/>
            </w:tcMar>
          </w:tcPr>
          <w:p w14:paraId="14915863"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2</w:t>
            </w:r>
          </w:p>
        </w:tc>
        <w:tc>
          <w:tcPr>
            <w:tcW w:w="949" w:type="dxa"/>
            <w:tcMar>
              <w:top w:w="100" w:type="dxa"/>
              <w:left w:w="150" w:type="dxa"/>
              <w:bottom w:w="100" w:type="dxa"/>
              <w:right w:w="150" w:type="dxa"/>
            </w:tcMar>
          </w:tcPr>
          <w:p w14:paraId="26F8924D"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928</w:t>
            </w:r>
          </w:p>
        </w:tc>
        <w:tc>
          <w:tcPr>
            <w:tcW w:w="1000" w:type="dxa"/>
            <w:tcMar>
              <w:top w:w="100" w:type="dxa"/>
              <w:left w:w="150" w:type="dxa"/>
              <w:bottom w:w="100" w:type="dxa"/>
              <w:right w:w="150" w:type="dxa"/>
            </w:tcMar>
          </w:tcPr>
          <w:p w14:paraId="291160A0"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58.8%</w:t>
            </w:r>
          </w:p>
        </w:tc>
        <w:tc>
          <w:tcPr>
            <w:tcW w:w="870" w:type="dxa"/>
            <w:tcMar>
              <w:top w:w="100" w:type="dxa"/>
              <w:left w:w="150" w:type="dxa"/>
              <w:bottom w:w="100" w:type="dxa"/>
              <w:right w:w="150" w:type="dxa"/>
            </w:tcMar>
          </w:tcPr>
          <w:p w14:paraId="1AB4AD00"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50.8%</w:t>
            </w:r>
          </w:p>
        </w:tc>
        <w:tc>
          <w:tcPr>
            <w:tcW w:w="870" w:type="dxa"/>
            <w:tcMar>
              <w:top w:w="100" w:type="dxa"/>
              <w:left w:w="150" w:type="dxa"/>
              <w:bottom w:w="100" w:type="dxa"/>
              <w:right w:w="150" w:type="dxa"/>
            </w:tcMar>
          </w:tcPr>
          <w:p w14:paraId="205D886F" w14:textId="77777777" w:rsidR="00717A20" w:rsidRPr="008E1CAD" w:rsidRDefault="00717A20" w:rsidP="00717A20">
            <w:pPr>
              <w:jc w:val="right"/>
              <w:rPr>
                <w:rFonts w:ascii="Times New Roman" w:hAnsi="Times New Roman" w:cs="Times New Roman"/>
                <w:sz w:val="18"/>
                <w:szCs w:val="18"/>
              </w:rPr>
            </w:pPr>
            <w:r w:rsidRPr="008E1CAD">
              <w:rPr>
                <w:rFonts w:ascii="Times New Roman" w:hAnsi="Times New Roman" w:cs="Times New Roman"/>
                <w:sz w:val="18"/>
                <w:szCs w:val="18"/>
              </w:rPr>
              <w:t>66.4%</w:t>
            </w:r>
          </w:p>
        </w:tc>
        <w:tc>
          <w:tcPr>
            <w:tcW w:w="1210" w:type="dxa"/>
            <w:tcMar>
              <w:top w:w="100" w:type="dxa"/>
              <w:left w:w="150" w:type="dxa"/>
              <w:bottom w:w="100" w:type="dxa"/>
              <w:right w:w="150" w:type="dxa"/>
            </w:tcMar>
          </w:tcPr>
          <w:p w14:paraId="3F47BCFA"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Jo 2020, Kawasaki 2022</w:t>
            </w:r>
          </w:p>
        </w:tc>
      </w:tr>
    </w:tbl>
    <w:p w14:paraId="5C355F08" w14:textId="77777777" w:rsidR="00717A20" w:rsidRPr="008E1CAD" w:rsidRDefault="00717A20" w:rsidP="00717A20">
      <w:pPr>
        <w:rPr>
          <w:rFonts w:ascii="Times New Roman" w:hAnsi="Times New Roman" w:cs="Times New Roman"/>
          <w:sz w:val="18"/>
          <w:szCs w:val="18"/>
        </w:rPr>
      </w:pPr>
      <w:r w:rsidRPr="008E1CAD">
        <w:rPr>
          <w:rFonts w:ascii="Times New Roman" w:hAnsi="Times New Roman" w:cs="Times New Roman"/>
          <w:sz w:val="18"/>
          <w:szCs w:val="18"/>
        </w:rPr>
        <w:t>CI = confidence interval; Dara Mono = daratumumab monotherapy; Dd = daratumumab plus dexamethasone; DPd = daratumumab, pomalidomide, and dexamethasone; DRd = daratumumab, lenalidomide, and dexamethasone; Kd = carfilzomib plus dexamethasone; KRd = carfilzomib, lenalidomide, and dexamethasone; ORR = overall response rate; Pd = pomalidomide plus dexamethasone; Rd = lenalidomide plus dexamethasone; VAd = bortezomib, doxorubicin, and dexamethasone; VCd = bortezomib, cyclophosphamide, and dexamethasone; Vd = bortezomib plus dexamethasone; VPd = bortezomib, pomalidomide, and dexamethasone; VRd = bortezomib, lenalidomide, and dexamethasone; VTd = bortezomib, thalidomide, and dexamethasone.</w:t>
      </w:r>
    </w:p>
    <w:p w14:paraId="5F93BE7A" w14:textId="77777777" w:rsidR="00F03650" w:rsidRPr="008E1CAD" w:rsidRDefault="00F03650">
      <w:pPr>
        <w:spacing w:before="40" w:after="60"/>
        <w:ind w:left="720" w:hanging="357"/>
        <w:rPr>
          <w:rFonts w:ascii="Times New Roman" w:hAnsi="Times New Roman" w:cs="Times New Roman"/>
        </w:rPr>
      </w:pPr>
    </w:p>
    <w:p w14:paraId="5704B49F" w14:textId="0DED36FA" w:rsidR="00907E93" w:rsidRPr="008E1CAD" w:rsidRDefault="00000000" w:rsidP="00DB2FAD">
      <w:pPr>
        <w:pStyle w:val="31"/>
        <w:rPr>
          <w:rFonts w:cs="Times New Roman"/>
        </w:rPr>
      </w:pPr>
      <w:r w:rsidRPr="008E1CAD">
        <w:rPr>
          <w:rFonts w:cs="Times New Roman"/>
        </w:rPr>
        <w:t>1.5.</w:t>
      </w:r>
      <w:r w:rsidR="00F03650" w:rsidRPr="008E1CAD">
        <w:rPr>
          <w:rFonts w:cs="Times New Roman"/>
        </w:rPr>
        <w:t>4</w:t>
      </w:r>
      <w:r w:rsidRPr="008E1CAD">
        <w:rPr>
          <w:rFonts w:cs="Times New Roman"/>
        </w:rPr>
        <w:t xml:space="preserve"> Monthly </w:t>
      </w:r>
      <w:r w:rsidR="00090FCB" w:rsidRPr="008E1CAD">
        <w:rPr>
          <w:rFonts w:cs="Times New Roman"/>
        </w:rPr>
        <w:t xml:space="preserve">progression </w:t>
      </w:r>
      <w:r w:rsidR="0016552D" w:rsidRPr="008E1CAD">
        <w:rPr>
          <w:rFonts w:cs="Times New Roman"/>
        </w:rPr>
        <w:t>risk</w:t>
      </w:r>
      <w:r w:rsidR="00090FCB" w:rsidRPr="008E1CAD">
        <w:rPr>
          <w:rFonts w:cs="Times New Roman"/>
        </w:rPr>
        <w:t>s following non-progression discontinuation</w:t>
      </w:r>
    </w:p>
    <w:p w14:paraId="6C2DB300" w14:textId="1D2E00BB" w:rsidR="00537D4A" w:rsidRPr="008E1CAD" w:rsidRDefault="00537D4A" w:rsidP="00124ABC">
      <w:pPr>
        <w:spacing w:after="120" w:line="259" w:lineRule="auto"/>
        <w:rPr>
          <w:rFonts w:ascii="Times New Roman" w:hAnsi="Times New Roman" w:cs="Times New Roman"/>
        </w:rPr>
      </w:pPr>
      <w:r w:rsidRPr="008E1CAD">
        <w:rPr>
          <w:rFonts w:ascii="Times New Roman" w:hAnsi="Times New Roman" w:cs="Times New Roman"/>
        </w:rPr>
        <w:t xml:space="preserve">For patients who discontinued continuous front-line therapy due to reasons other than disease progression (such as severe adverse events, toxicity, or clinical intolerance), the model assumed that their immediate post-discontinuation progression timeline reflects the sustained residual efficacy of the preceding front-line induction regimen. Under this structural assumption, the monthly risk of progressive disease for these </w:t>
      </w:r>
      <w:r w:rsidRPr="008E1CAD">
        <w:rPr>
          <w:rFonts w:ascii="Times New Roman" w:hAnsi="Times New Roman" w:cs="Times New Roman"/>
        </w:rPr>
        <w:lastRenderedPageBreak/>
        <w:t xml:space="preserve">patients was anchored to the progression-free survival (PFS) baseline of their respective completed induction phase. </w:t>
      </w:r>
      <w:r w:rsidR="006D5FB2" w:rsidRPr="008E1CAD">
        <w:rPr>
          <w:rFonts w:ascii="Times New Roman" w:hAnsi="Times New Roman" w:cs="Times New Roman"/>
        </w:rPr>
        <w:t>This modeling approach is consistent with health technology assessment (HTA) practice when direct post-discontinuation survival data are unavailable, although it remains a structural assumption.</w:t>
      </w:r>
      <w:r w:rsidRPr="008E1CAD">
        <w:rPr>
          <w:rFonts w:ascii="Times New Roman" w:hAnsi="Times New Roman" w:cs="Times New Roman"/>
        </w:rPr>
        <w:t xml:space="preserve"> In routine clinical practice and retrospective real-world databases, long-term survival trajectories specifically tracking cohorts who discontinue due to non-progression toxicities are typically unobserved or heavily right-censored. Therefore, mapping the post-discontinuation progression </w:t>
      </w:r>
      <w:r w:rsidR="0016552D" w:rsidRPr="008E1CAD">
        <w:rPr>
          <w:rFonts w:ascii="Times New Roman" w:hAnsi="Times New Roman" w:cs="Times New Roman"/>
        </w:rPr>
        <w:t>risk</w:t>
      </w:r>
      <w:r w:rsidRPr="008E1CAD">
        <w:rPr>
          <w:rFonts w:ascii="Times New Roman" w:hAnsi="Times New Roman" w:cs="Times New Roman"/>
        </w:rPr>
        <w:t xml:space="preserve"> directly to the </w:t>
      </w:r>
      <w:r w:rsidR="006D5FB2" w:rsidRPr="008E1CAD">
        <w:rPr>
          <w:rFonts w:ascii="Times New Roman" w:hAnsi="Times New Roman" w:cs="Times New Roman"/>
        </w:rPr>
        <w:t>preceding induction-therapy baseline</w:t>
      </w:r>
      <w:r w:rsidRPr="008E1CAD">
        <w:rPr>
          <w:rFonts w:ascii="Times New Roman" w:hAnsi="Times New Roman" w:cs="Times New Roman"/>
        </w:rPr>
        <w:t xml:space="preserve"> serves as a clinically plausible, methodologically robust, and conservative proxy to model residual disease-control benefits </w:t>
      </w:r>
      <w:r w:rsidR="006D5FB2" w:rsidRPr="008E1CAD">
        <w:rPr>
          <w:rFonts w:ascii="Times New Roman" w:hAnsi="Times New Roman" w:cs="Times New Roman"/>
        </w:rPr>
        <w:t>before patients transition to subsequent-line therapy</w:t>
      </w:r>
      <w:r w:rsidRPr="008E1CAD">
        <w:rPr>
          <w:rFonts w:ascii="Times New Roman" w:hAnsi="Times New Roman" w:cs="Times New Roman"/>
        </w:rPr>
        <w:t xml:space="preserve"> (Siebert 2012, Briggs 200</w:t>
      </w:r>
      <w:r w:rsidR="00D67D76" w:rsidRPr="008E1CAD">
        <w:rPr>
          <w:rFonts w:ascii="Times New Roman" w:hAnsi="Times New Roman" w:cs="Times New Roman"/>
        </w:rPr>
        <w:t>6</w:t>
      </w:r>
      <w:r w:rsidRPr="008E1CAD">
        <w:rPr>
          <w:rFonts w:ascii="Times New Roman" w:hAnsi="Times New Roman" w:cs="Times New Roman"/>
        </w:rPr>
        <w:t>).</w:t>
      </w:r>
    </w:p>
    <w:p w14:paraId="6EE2D8FE" w14:textId="6D0E00F3" w:rsidR="00124ABC" w:rsidRPr="008E1CAD" w:rsidRDefault="00124ABC" w:rsidP="00124ABC">
      <w:pPr>
        <w:spacing w:after="120" w:line="259" w:lineRule="auto"/>
        <w:rPr>
          <w:rFonts w:ascii="Times New Roman" w:hAnsi="Times New Roman" w:cs="Times New Roman"/>
        </w:rPr>
      </w:pPr>
      <w:r w:rsidRPr="008E1CAD">
        <w:rPr>
          <w:rFonts w:ascii="Times New Roman" w:hAnsi="Times New Roman" w:cs="Times New Roman"/>
        </w:rPr>
        <w:t xml:space="preserve">To mathematically derive the constant monthly progression </w:t>
      </w:r>
      <w:r w:rsidR="0016552D" w:rsidRPr="008E1CAD">
        <w:rPr>
          <w:rFonts w:ascii="Times New Roman" w:hAnsi="Times New Roman" w:cs="Times New Roman"/>
        </w:rPr>
        <w:t>risk</w:t>
      </w:r>
      <w:r w:rsidRPr="008E1CAD">
        <w:rPr>
          <w:rFonts w:ascii="Times New Roman" w:hAnsi="Times New Roman" w:cs="Times New Roman"/>
        </w:rPr>
        <w:t xml:space="preserve"> (λP) from the median PFS (mPFS, expressed in months) reported in real-world literature, an exponential survival function was employed (Briggs 200</w:t>
      </w:r>
      <w:r w:rsidR="00D67D76" w:rsidRPr="008E1CAD">
        <w:rPr>
          <w:rFonts w:ascii="Times New Roman" w:hAnsi="Times New Roman" w:cs="Times New Roman"/>
        </w:rPr>
        <w:t>6</w:t>
      </w:r>
      <w:r w:rsidRPr="008E1CAD">
        <w:rPr>
          <w:rFonts w:ascii="Times New Roman" w:hAnsi="Times New Roman" w:cs="Times New Roman"/>
        </w:rPr>
        <w:t>). Under the assumption of a constant hazard rate over time, the progression-free survival function S(t) at time t is expressed as:</w:t>
      </w:r>
    </w:p>
    <w:p w14:paraId="0FAB8D33" w14:textId="025D6E2B" w:rsidR="00124ABC" w:rsidRPr="008E1CAD" w:rsidRDefault="00124ABC" w:rsidP="00124ABC">
      <w:pPr>
        <w:pStyle w:val="EquationCentered"/>
        <w:rPr>
          <w:rFonts w:ascii="Times New Roman" w:hAnsi="Times New Roman" w:cs="Times New Roman"/>
          <w:sz w:val="22"/>
        </w:rPr>
      </w:pPr>
      <w:r w:rsidRPr="008E1CAD">
        <w:rPr>
          <w:rFonts w:ascii="Times New Roman" w:hAnsi="Times New Roman" w:cs="Times New Roman"/>
          <w:sz w:val="22"/>
        </w:rPr>
        <w:t>S(t) = e</w:t>
      </w:r>
      <w:r w:rsidR="006D5FB2" w:rsidRPr="008E1CAD">
        <w:rPr>
          <w:rFonts w:ascii="Times New Roman" w:hAnsi="Times New Roman" w:cs="Times New Roman"/>
          <w:sz w:val="22"/>
          <w:lang w:eastAsia="zh-CN"/>
        </w:rPr>
        <w:t>xp</w:t>
      </w:r>
      <w:r w:rsidRPr="008E1CAD">
        <w:rPr>
          <w:rFonts w:ascii="Times New Roman" w:hAnsi="Times New Roman" w:cs="Times New Roman"/>
          <w:sz w:val="22"/>
        </w:rPr>
        <w:t xml:space="preserve"> </w:t>
      </w:r>
      <w:r w:rsidRPr="008E1CAD">
        <w:rPr>
          <w:rFonts w:ascii="Times New Roman" w:hAnsi="Times New Roman" w:cs="Times New Roman"/>
          <w:sz w:val="22"/>
          <w:vertAlign w:val="superscript"/>
        </w:rPr>
        <w:t xml:space="preserve">(−λP </w:t>
      </w:r>
      <w:r w:rsidR="00BF2A2E" w:rsidRPr="008E1CAD">
        <w:rPr>
          <w:rFonts w:ascii="Times New Roman" w:hAnsi="Times New Roman" w:cs="Times New Roman"/>
          <w:sz w:val="22"/>
          <w:vertAlign w:val="superscript"/>
        </w:rPr>
        <w:t>×</w:t>
      </w:r>
      <w:r w:rsidRPr="008E1CAD">
        <w:rPr>
          <w:rFonts w:ascii="Times New Roman" w:hAnsi="Times New Roman" w:cs="Times New Roman"/>
          <w:sz w:val="22"/>
          <w:vertAlign w:val="superscript"/>
          <w:lang w:eastAsia="zh-CN"/>
        </w:rPr>
        <w:t xml:space="preserve"> </w:t>
      </w:r>
      <w:r w:rsidRPr="008E1CAD">
        <w:rPr>
          <w:rFonts w:ascii="Times New Roman" w:hAnsi="Times New Roman" w:cs="Times New Roman"/>
          <w:sz w:val="22"/>
          <w:vertAlign w:val="superscript"/>
        </w:rPr>
        <w:t>t)</w:t>
      </w:r>
    </w:p>
    <w:p w14:paraId="435499FF" w14:textId="39F93BFD" w:rsidR="00124ABC" w:rsidRPr="008E1CAD" w:rsidRDefault="00124ABC" w:rsidP="00124ABC">
      <w:pPr>
        <w:spacing w:after="120" w:line="259" w:lineRule="auto"/>
        <w:rPr>
          <w:rFonts w:ascii="Times New Roman" w:hAnsi="Times New Roman" w:cs="Times New Roman"/>
        </w:rPr>
      </w:pPr>
      <w:r w:rsidRPr="008E1CAD">
        <w:rPr>
          <w:rFonts w:ascii="Times New Roman" w:hAnsi="Times New Roman" w:cs="Times New Roman"/>
        </w:rPr>
        <w:t xml:space="preserve">Given that S(t) = 0.5 when t = mPFS, the constant monthly progression </w:t>
      </w:r>
      <w:r w:rsidR="0016552D" w:rsidRPr="008E1CAD">
        <w:rPr>
          <w:rFonts w:ascii="Times New Roman" w:hAnsi="Times New Roman" w:cs="Times New Roman"/>
        </w:rPr>
        <w:t>risk</w:t>
      </w:r>
      <w:r w:rsidRPr="008E1CAD">
        <w:rPr>
          <w:rFonts w:ascii="Times New Roman" w:hAnsi="Times New Roman" w:cs="Times New Roman"/>
        </w:rPr>
        <w:t xml:space="preserve"> (λP) was calculated as follows:</w:t>
      </w:r>
    </w:p>
    <w:p w14:paraId="1FA49585" w14:textId="77777777" w:rsidR="00124ABC" w:rsidRPr="008E1CAD" w:rsidRDefault="00124ABC" w:rsidP="00124ABC">
      <w:pPr>
        <w:pStyle w:val="EquationCentered"/>
        <w:rPr>
          <w:rFonts w:ascii="Times New Roman" w:hAnsi="Times New Roman" w:cs="Times New Roman"/>
          <w:sz w:val="22"/>
        </w:rPr>
      </w:pPr>
      <w:r w:rsidRPr="008E1CAD">
        <w:rPr>
          <w:rFonts w:ascii="Times New Roman" w:hAnsi="Times New Roman" w:cs="Times New Roman"/>
          <w:sz w:val="22"/>
        </w:rPr>
        <w:t>λP = −ln(0.5) / mPFS = ln(2) / mPFS</w:t>
      </w:r>
    </w:p>
    <w:p w14:paraId="0808C68B" w14:textId="77777777" w:rsidR="00124ABC" w:rsidRPr="008E1CAD" w:rsidRDefault="00124ABC" w:rsidP="00124ABC">
      <w:pPr>
        <w:spacing w:after="120" w:line="259" w:lineRule="auto"/>
        <w:rPr>
          <w:rFonts w:ascii="Times New Roman" w:hAnsi="Times New Roman" w:cs="Times New Roman"/>
        </w:rPr>
      </w:pPr>
      <w:r w:rsidRPr="008E1CAD">
        <w:rPr>
          <w:rFonts w:ascii="Times New Roman" w:hAnsi="Times New Roman" w:cs="Times New Roman"/>
        </w:rPr>
        <w:t>For the Markov model simulation, the monthly transition probability of disease progression (PProg) within a one-month cycle (Δt = 1) was subsequently derived from the hazard rate using the standard rate-to-probability conversion formula:</w:t>
      </w:r>
    </w:p>
    <w:p w14:paraId="53B570F3" w14:textId="5D2AA3C5" w:rsidR="00124ABC" w:rsidRPr="008E1CAD" w:rsidRDefault="00124ABC" w:rsidP="00124ABC">
      <w:pPr>
        <w:pStyle w:val="EquationCentered"/>
        <w:rPr>
          <w:rFonts w:ascii="Times New Roman" w:hAnsi="Times New Roman" w:cs="Times New Roman"/>
          <w:sz w:val="22"/>
        </w:rPr>
      </w:pPr>
      <w:r w:rsidRPr="008E1CAD">
        <w:rPr>
          <w:rFonts w:ascii="Times New Roman" w:hAnsi="Times New Roman" w:cs="Times New Roman"/>
          <w:sz w:val="22"/>
        </w:rPr>
        <w:t>PProg = 1 − e</w:t>
      </w:r>
      <w:r w:rsidR="006D5FB2" w:rsidRPr="008E1CAD">
        <w:rPr>
          <w:rFonts w:ascii="Times New Roman" w:hAnsi="Times New Roman" w:cs="Times New Roman"/>
          <w:sz w:val="22"/>
          <w:lang w:eastAsia="zh-CN"/>
        </w:rPr>
        <w:t>xp</w:t>
      </w:r>
      <w:r w:rsidRPr="008E1CAD">
        <w:rPr>
          <w:rFonts w:ascii="Times New Roman" w:hAnsi="Times New Roman" w:cs="Times New Roman"/>
          <w:sz w:val="22"/>
        </w:rPr>
        <w:t xml:space="preserve"> </w:t>
      </w:r>
      <w:r w:rsidRPr="008E1CAD">
        <w:rPr>
          <w:rFonts w:ascii="Times New Roman" w:hAnsi="Times New Roman" w:cs="Times New Roman"/>
          <w:sz w:val="22"/>
          <w:vertAlign w:val="superscript"/>
        </w:rPr>
        <w:t xml:space="preserve">(−λP </w:t>
      </w:r>
      <w:r w:rsidR="00BF2A2E" w:rsidRPr="008E1CAD">
        <w:rPr>
          <w:rFonts w:ascii="Times New Roman" w:hAnsi="Times New Roman" w:cs="Times New Roman"/>
          <w:sz w:val="22"/>
          <w:vertAlign w:val="superscript"/>
        </w:rPr>
        <w:t>×</w:t>
      </w:r>
      <w:r w:rsidRPr="008E1CAD">
        <w:rPr>
          <w:rFonts w:ascii="Times New Roman" w:hAnsi="Times New Roman" w:cs="Times New Roman"/>
          <w:sz w:val="22"/>
          <w:vertAlign w:val="superscript"/>
        </w:rPr>
        <w:t xml:space="preserve"> Δt)</w:t>
      </w:r>
      <w:r w:rsidRPr="008E1CAD">
        <w:rPr>
          <w:rFonts w:ascii="Times New Roman" w:hAnsi="Times New Roman" w:cs="Times New Roman"/>
          <w:sz w:val="22"/>
        </w:rPr>
        <w:t xml:space="preserve"> = 1 − e</w:t>
      </w:r>
      <w:r w:rsidR="006D5FB2" w:rsidRPr="008E1CAD">
        <w:rPr>
          <w:rFonts w:ascii="Times New Roman" w:hAnsi="Times New Roman" w:cs="Times New Roman"/>
          <w:sz w:val="22"/>
          <w:lang w:eastAsia="zh-CN"/>
        </w:rPr>
        <w:t>xp</w:t>
      </w:r>
      <w:r w:rsidRPr="008E1CAD">
        <w:rPr>
          <w:rFonts w:ascii="Times New Roman" w:hAnsi="Times New Roman" w:cs="Times New Roman"/>
          <w:sz w:val="22"/>
        </w:rPr>
        <w:t xml:space="preserve"> </w:t>
      </w:r>
      <w:r w:rsidRPr="008E1CAD">
        <w:rPr>
          <w:rFonts w:ascii="Times New Roman" w:hAnsi="Times New Roman" w:cs="Times New Roman"/>
          <w:sz w:val="22"/>
          <w:vertAlign w:val="superscript"/>
        </w:rPr>
        <w:t>(−λP)</w:t>
      </w:r>
    </w:p>
    <w:p w14:paraId="72BB0BCA" w14:textId="0A326B91" w:rsidR="00124ABC" w:rsidRPr="008E1CAD" w:rsidRDefault="00124ABC" w:rsidP="00124ABC">
      <w:pPr>
        <w:pStyle w:val="a0"/>
        <w:spacing w:after="120"/>
        <w:ind w:hanging="216"/>
        <w:rPr>
          <w:rFonts w:ascii="Times New Roman" w:hAnsi="Times New Roman" w:cs="Times New Roman"/>
        </w:rPr>
      </w:pPr>
      <w:r w:rsidRPr="008E1CAD">
        <w:rPr>
          <w:rFonts w:ascii="Times New Roman" w:eastAsia="Times New Roman" w:hAnsi="Times New Roman" w:cs="Times New Roman"/>
          <w:b/>
        </w:rPr>
        <w:t xml:space="preserve">iCT IRd </w:t>
      </w:r>
      <w:r w:rsidR="006D5FB2" w:rsidRPr="008E1CAD">
        <w:rPr>
          <w:rFonts w:ascii="Times New Roman" w:eastAsia="Times New Roman" w:hAnsi="Times New Roman" w:cs="Times New Roman"/>
          <w:b/>
        </w:rPr>
        <w:t>pathway</w:t>
      </w:r>
      <w:r w:rsidRPr="008E1CAD">
        <w:rPr>
          <w:rFonts w:ascii="Times New Roman" w:eastAsia="Times New Roman" w:hAnsi="Times New Roman" w:cs="Times New Roman"/>
          <w:b/>
        </w:rPr>
        <w:t xml:space="preserve"> (</w:t>
      </w:r>
      <w:r w:rsidR="006D5FB2" w:rsidRPr="008E1CAD">
        <w:rPr>
          <w:rFonts w:ascii="Times New Roman" w:eastAsia="Times New Roman" w:hAnsi="Times New Roman" w:cs="Times New Roman"/>
          <w:b/>
        </w:rPr>
        <w:t>residual effects after V-based induction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 xml:space="preserve">The composite monthly progression </w:t>
      </w:r>
      <w:r w:rsidR="0016552D" w:rsidRPr="008E1CAD">
        <w:rPr>
          <w:rFonts w:ascii="Times New Roman" w:eastAsia="Times New Roman" w:hAnsi="Times New Roman" w:cs="Times New Roman"/>
        </w:rPr>
        <w:t xml:space="preserve">risk </w:t>
      </w:r>
      <w:r w:rsidRPr="008E1CAD">
        <w:rPr>
          <w:rFonts w:ascii="Times New Roman" w:eastAsia="Times New Roman" w:hAnsi="Times New Roman" w:cs="Times New Roman"/>
        </w:rPr>
        <w:t xml:space="preserve">was calculated as a sample-size weighted average based on the real-world utilization distribution of five guideline-endorsed bortezomib triplet/doublet induction regimens in China, yielding a weighted pooled mean monthly progression risk of </w:t>
      </w:r>
      <w:r w:rsidRPr="008E1CAD">
        <w:rPr>
          <w:rFonts w:ascii="Times New Roman" w:eastAsia="Times New Roman" w:hAnsi="Times New Roman" w:cs="Times New Roman"/>
          <w:b/>
        </w:rPr>
        <w:t>0.035</w:t>
      </w:r>
      <w:r w:rsidRPr="008E1CAD">
        <w:rPr>
          <w:rFonts w:ascii="Times New Roman" w:eastAsia="Times New Roman" w:hAnsi="Times New Roman" w:cs="Times New Roman"/>
        </w:rPr>
        <w:t>. The individual regimen inputs compiled via single-arm meta-analyses of 7 observational studies were (Chen 2022, Li 2018, Liu 2018, Tang 2023, Wang 2022, Xu 2022</w:t>
      </w:r>
      <w:r w:rsidR="00BC77CA" w:rsidRPr="008E1CAD">
        <w:rPr>
          <w:rFonts w:ascii="Times New Roman" w:eastAsia="Times New Roman" w:hAnsi="Times New Roman" w:cs="Times New Roman"/>
        </w:rPr>
        <w:t>a</w:t>
      </w:r>
      <w:r w:rsidRPr="008E1CAD">
        <w:rPr>
          <w:rFonts w:ascii="Times New Roman" w:eastAsia="Times New Roman" w:hAnsi="Times New Roman" w:cs="Times New Roman"/>
        </w:rPr>
        <w:t>, Yang 2021</w:t>
      </w:r>
      <w:r w:rsidR="00791E18">
        <w:rPr>
          <w:rFonts w:ascii="Times New Roman" w:eastAsia="Times New Roman" w:hAnsi="Times New Roman" w:cs="Times New Roman" w:hint="eastAsia"/>
        </w:rPr>
        <w:t>a</w:t>
      </w:r>
      <w:r w:rsidRPr="008E1CAD">
        <w:rPr>
          <w:rFonts w:ascii="Times New Roman" w:eastAsia="Times New Roman" w:hAnsi="Times New Roman" w:cs="Times New Roman"/>
        </w:rPr>
        <w:t>):</w:t>
      </w:r>
    </w:p>
    <w:p w14:paraId="0CC04BB5" w14:textId="0504C4AA" w:rsidR="00124ABC" w:rsidRPr="008E1CAD" w:rsidRDefault="00124ABC" w:rsidP="00124ABC">
      <w:pPr>
        <w:pStyle w:val="20"/>
        <w:numPr>
          <w:ilvl w:val="0"/>
          <w:numId w:val="10"/>
        </w:numPr>
        <w:spacing w:after="80"/>
        <w:rPr>
          <w:rFonts w:ascii="Times New Roman" w:hAnsi="Times New Roman" w:cs="Times New Roman"/>
        </w:rPr>
      </w:pPr>
      <w:r w:rsidRPr="008E1CAD">
        <w:rPr>
          <w:rFonts w:ascii="Times New Roman" w:eastAsia="Times New Roman" w:hAnsi="Times New Roman" w:cs="Times New Roman"/>
          <w:b/>
        </w:rPr>
        <w:t xml:space="preserve">VRd </w:t>
      </w:r>
      <w:r w:rsidR="006D5FB2" w:rsidRPr="008E1CAD">
        <w:rPr>
          <w:rFonts w:ascii="Times New Roman" w:eastAsia="Times New Roman" w:hAnsi="Times New Roman" w:cs="Times New Roman"/>
          <w:b/>
        </w:rPr>
        <w:t>regimen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0.021 (95% CI: 0.005</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0.082)</w:t>
      </w:r>
    </w:p>
    <w:p w14:paraId="48251407" w14:textId="1565AE54" w:rsidR="00124ABC" w:rsidRPr="008E1CAD" w:rsidRDefault="00124ABC" w:rsidP="00124ABC">
      <w:pPr>
        <w:pStyle w:val="20"/>
        <w:numPr>
          <w:ilvl w:val="0"/>
          <w:numId w:val="10"/>
        </w:numPr>
        <w:spacing w:after="80"/>
        <w:rPr>
          <w:rFonts w:ascii="Times New Roman" w:hAnsi="Times New Roman" w:cs="Times New Roman"/>
        </w:rPr>
      </w:pPr>
      <w:r w:rsidRPr="008E1CAD">
        <w:rPr>
          <w:rFonts w:ascii="Times New Roman" w:eastAsia="Times New Roman" w:hAnsi="Times New Roman" w:cs="Times New Roman"/>
          <w:b/>
        </w:rPr>
        <w:t xml:space="preserve">VCd </w:t>
      </w:r>
      <w:r w:rsidR="006D5FB2" w:rsidRPr="008E1CAD">
        <w:rPr>
          <w:rFonts w:ascii="Times New Roman" w:eastAsia="Times New Roman" w:hAnsi="Times New Roman" w:cs="Times New Roman"/>
          <w:b/>
        </w:rPr>
        <w:t>regimen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0.047 (95% CI: 0.020</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0.108)</w:t>
      </w:r>
    </w:p>
    <w:p w14:paraId="517E3000" w14:textId="65A09824" w:rsidR="00124ABC" w:rsidRPr="008E1CAD" w:rsidRDefault="00124ABC" w:rsidP="00124ABC">
      <w:pPr>
        <w:pStyle w:val="20"/>
        <w:numPr>
          <w:ilvl w:val="0"/>
          <w:numId w:val="10"/>
        </w:numPr>
        <w:spacing w:after="80"/>
        <w:rPr>
          <w:rFonts w:ascii="Times New Roman" w:hAnsi="Times New Roman" w:cs="Times New Roman"/>
        </w:rPr>
      </w:pPr>
      <w:r w:rsidRPr="008E1CAD">
        <w:rPr>
          <w:rFonts w:ascii="Times New Roman" w:eastAsia="Times New Roman" w:hAnsi="Times New Roman" w:cs="Times New Roman"/>
          <w:b/>
        </w:rPr>
        <w:t xml:space="preserve">VAd </w:t>
      </w:r>
      <w:r w:rsidR="006D5FB2" w:rsidRPr="008E1CAD">
        <w:rPr>
          <w:rFonts w:ascii="Times New Roman" w:eastAsia="Times New Roman" w:hAnsi="Times New Roman" w:cs="Times New Roman"/>
          <w:b/>
        </w:rPr>
        <w:t>regimen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0.034 (95% CI: 0.013</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0.089)</w:t>
      </w:r>
    </w:p>
    <w:p w14:paraId="71045992" w14:textId="6B5F0F81" w:rsidR="00124ABC" w:rsidRPr="008E1CAD" w:rsidRDefault="00124ABC" w:rsidP="00124ABC">
      <w:pPr>
        <w:pStyle w:val="20"/>
        <w:numPr>
          <w:ilvl w:val="0"/>
          <w:numId w:val="10"/>
        </w:numPr>
        <w:spacing w:after="80"/>
        <w:rPr>
          <w:rFonts w:ascii="Times New Roman" w:hAnsi="Times New Roman" w:cs="Times New Roman"/>
        </w:rPr>
      </w:pPr>
      <w:r w:rsidRPr="008E1CAD">
        <w:rPr>
          <w:rFonts w:ascii="Times New Roman" w:eastAsia="Times New Roman" w:hAnsi="Times New Roman" w:cs="Times New Roman"/>
          <w:b/>
        </w:rPr>
        <w:t xml:space="preserve">Vd </w:t>
      </w:r>
      <w:r w:rsidR="006D5FB2" w:rsidRPr="008E1CAD">
        <w:rPr>
          <w:rFonts w:ascii="Times New Roman" w:eastAsia="Times New Roman" w:hAnsi="Times New Roman" w:cs="Times New Roman"/>
          <w:b/>
        </w:rPr>
        <w:t>regimen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0.027 (95% CI: 0.007</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0.097)</w:t>
      </w:r>
    </w:p>
    <w:p w14:paraId="4EED339E" w14:textId="6BE62B2B" w:rsidR="00124ABC" w:rsidRPr="008E1CAD" w:rsidRDefault="00124ABC" w:rsidP="00124ABC">
      <w:pPr>
        <w:pStyle w:val="20"/>
        <w:numPr>
          <w:ilvl w:val="0"/>
          <w:numId w:val="10"/>
        </w:numPr>
        <w:spacing w:after="80"/>
        <w:rPr>
          <w:rFonts w:ascii="Times New Roman" w:hAnsi="Times New Roman" w:cs="Times New Roman"/>
        </w:rPr>
      </w:pPr>
      <w:r w:rsidRPr="008E1CAD">
        <w:rPr>
          <w:rFonts w:ascii="Times New Roman" w:eastAsia="Times New Roman" w:hAnsi="Times New Roman" w:cs="Times New Roman"/>
          <w:b/>
        </w:rPr>
        <w:t xml:space="preserve">VTd </w:t>
      </w:r>
      <w:r w:rsidR="006D5FB2" w:rsidRPr="008E1CAD">
        <w:rPr>
          <w:rFonts w:ascii="Times New Roman" w:eastAsia="Times New Roman" w:hAnsi="Times New Roman" w:cs="Times New Roman"/>
          <w:b/>
        </w:rPr>
        <w:t>regimen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0.030 (95% CI: 0.009</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0.090)</w:t>
      </w:r>
    </w:p>
    <w:p w14:paraId="7CE21EB8" w14:textId="5AB1EA2C" w:rsidR="00124ABC" w:rsidRPr="00AA719D" w:rsidRDefault="00124ABC" w:rsidP="00124ABC">
      <w:pPr>
        <w:pStyle w:val="a0"/>
        <w:spacing w:after="120"/>
        <w:ind w:hanging="216"/>
        <w:rPr>
          <w:rFonts w:ascii="Times New Roman" w:eastAsiaTheme="minorEastAsia" w:hAnsi="Times New Roman" w:cs="Times New Roman"/>
          <w:lang w:eastAsia="en-US"/>
        </w:rPr>
      </w:pPr>
      <w:r w:rsidRPr="008E1CAD">
        <w:rPr>
          <w:rFonts w:ascii="Times New Roman" w:eastAsia="Times New Roman" w:hAnsi="Times New Roman" w:cs="Times New Roman"/>
          <w:b/>
        </w:rPr>
        <w:t xml:space="preserve">DRd </w:t>
      </w:r>
      <w:r w:rsidR="006D5FB2" w:rsidRPr="008E1CAD">
        <w:rPr>
          <w:rFonts w:ascii="Times New Roman" w:eastAsia="Times New Roman" w:hAnsi="Times New Roman" w:cs="Times New Roman"/>
          <w:b/>
        </w:rPr>
        <w:t>pathway</w:t>
      </w:r>
      <w:r w:rsidRPr="008E1CAD">
        <w:rPr>
          <w:rFonts w:ascii="Times New Roman" w:eastAsia="Times New Roman" w:hAnsi="Times New Roman" w:cs="Times New Roman"/>
          <w:b/>
        </w:rPr>
        <w:t xml:space="preserve"> (</w:t>
      </w:r>
      <w:r w:rsidR="006D5FB2" w:rsidRPr="008E1CAD">
        <w:rPr>
          <w:rFonts w:ascii="Times New Roman" w:eastAsia="Times New Roman" w:hAnsi="Times New Roman" w:cs="Times New Roman"/>
          <w:b/>
        </w:rPr>
        <w:t xml:space="preserve">residual effect after </w:t>
      </w:r>
      <w:r w:rsidRPr="008E1CAD">
        <w:rPr>
          <w:rFonts w:ascii="Times New Roman" w:eastAsia="Times New Roman" w:hAnsi="Times New Roman" w:cs="Times New Roman"/>
          <w:b/>
        </w:rPr>
        <w:t xml:space="preserve">DRd </w:t>
      </w:r>
      <w:r w:rsidR="00090FCB" w:rsidRPr="008E1CAD">
        <w:rPr>
          <w:rFonts w:ascii="Times New Roman" w:eastAsia="Times New Roman" w:hAnsi="Times New Roman" w:cs="Times New Roman"/>
          <w:b/>
        </w:rPr>
        <w:t>induction</w:t>
      </w:r>
      <w:r w:rsidRPr="008E1CAD">
        <w:rPr>
          <w:rFonts w:ascii="Times New Roman" w:eastAsia="Times New Roman" w:hAnsi="Times New Roman" w:cs="Times New Roman"/>
          <w:b/>
        </w:rPr>
        <w:t xml:space="preserve">): </w:t>
      </w:r>
      <w:r w:rsidRPr="008E1CAD">
        <w:rPr>
          <w:rFonts w:ascii="Times New Roman" w:eastAsia="Times New Roman" w:hAnsi="Times New Roman" w:cs="Times New Roman"/>
        </w:rPr>
        <w:t xml:space="preserve">Derived from </w:t>
      </w:r>
      <w:r w:rsidR="006D5FB2" w:rsidRPr="008E1CAD">
        <w:rPr>
          <w:rFonts w:ascii="Times New Roman" w:eastAsia="Times New Roman" w:hAnsi="Times New Roman" w:cs="Times New Roman"/>
        </w:rPr>
        <w:t>one</w:t>
      </w:r>
      <w:r w:rsidR="00576A62" w:rsidRPr="008E1CAD">
        <w:rPr>
          <w:rFonts w:ascii="Times New Roman" w:eastAsia="Times New Roman" w:hAnsi="Times New Roman" w:cs="Times New Roman"/>
        </w:rPr>
        <w:t xml:space="preserve"> </w:t>
      </w:r>
      <w:r w:rsidRPr="008E1CAD">
        <w:rPr>
          <w:rFonts w:ascii="Times New Roman" w:eastAsia="Times New Roman" w:hAnsi="Times New Roman" w:cs="Times New Roman"/>
        </w:rPr>
        <w:t>front-line DRd observational cohort (Atrash 2021</w:t>
      </w:r>
      <w:r w:rsidR="00F713D9" w:rsidRPr="008E1CAD">
        <w:rPr>
          <w:rFonts w:ascii="Times New Roman" w:eastAsia="Times New Roman" w:hAnsi="Times New Roman" w:cs="Times New Roman"/>
        </w:rPr>
        <w:t>a</w:t>
      </w:r>
      <w:r w:rsidRPr="008E1CAD">
        <w:rPr>
          <w:rFonts w:ascii="Times New Roman" w:eastAsia="Times New Roman" w:hAnsi="Times New Roman" w:cs="Times New Roman"/>
        </w:rPr>
        <w:t>),</w:t>
      </w:r>
      <w:r w:rsidR="006D5FB2" w:rsidRPr="008E1CAD">
        <w:rPr>
          <w:rFonts w:ascii="Times New Roman" w:eastAsia="Times New Roman" w:hAnsi="Times New Roman" w:cs="Times New Roman"/>
        </w:rPr>
        <w:t xml:space="preserve"> estimating</w:t>
      </w:r>
      <w:r w:rsidRPr="008E1CAD">
        <w:rPr>
          <w:rFonts w:ascii="Times New Roman" w:eastAsia="Times New Roman" w:hAnsi="Times New Roman" w:cs="Times New Roman"/>
        </w:rPr>
        <w:t xml:space="preserve"> a baseline monthly progression risk of </w:t>
      </w:r>
      <w:r w:rsidRPr="008E1CAD">
        <w:rPr>
          <w:rFonts w:ascii="Times New Roman" w:eastAsia="Times New Roman" w:hAnsi="Times New Roman" w:cs="Times New Roman"/>
          <w:b/>
        </w:rPr>
        <w:t>0.018</w:t>
      </w:r>
      <w:r w:rsidRPr="008E1CAD">
        <w:rPr>
          <w:rFonts w:ascii="Times New Roman" w:eastAsia="Times New Roman" w:hAnsi="Times New Roman" w:cs="Times New Roman"/>
        </w:rPr>
        <w:t xml:space="preserve"> (95% CI: 0.004</w:t>
      </w:r>
      <w:r w:rsidR="002374D8" w:rsidRPr="008E1CAD">
        <w:rPr>
          <w:rFonts w:ascii="Times New Roman" w:eastAsia="Times New Roman" w:hAnsi="Times New Roman" w:cs="Times New Roman"/>
        </w:rPr>
        <w:t>-</w:t>
      </w:r>
      <w:r w:rsidRPr="008E1CAD">
        <w:rPr>
          <w:rFonts w:ascii="Times New Roman" w:eastAsia="Times New Roman" w:hAnsi="Times New Roman" w:cs="Times New Roman"/>
        </w:rPr>
        <w:t>0.057).</w:t>
      </w:r>
    </w:p>
    <w:p w14:paraId="5F90B6A9" w14:textId="05A04EA0" w:rsidR="008E1CAD" w:rsidRPr="008E1CAD" w:rsidRDefault="008E1CAD" w:rsidP="008E1CAD">
      <w:pPr>
        <w:pStyle w:val="21"/>
        <w:rPr>
          <w:rFonts w:cs="Times New Roman"/>
        </w:rPr>
      </w:pPr>
      <w:r w:rsidRPr="008E1CAD">
        <w:rPr>
          <w:rFonts w:cs="Times New Roman"/>
        </w:rPr>
        <w:t>1.6 Treatment dosage and administration schedules</w:t>
      </w:r>
    </w:p>
    <w:p w14:paraId="5547BB52" w14:textId="7492BAF6" w:rsidR="008E1CAD" w:rsidRPr="008E1CAD" w:rsidRDefault="008E1CAD" w:rsidP="008E1CAD">
      <w:pPr>
        <w:rPr>
          <w:rFonts w:ascii="Times New Roman" w:eastAsia="Times New Roman" w:hAnsi="Times New Roman" w:cs="Times New Roman"/>
        </w:rPr>
      </w:pPr>
      <w:r w:rsidRPr="00AA719D">
        <w:rPr>
          <w:rFonts w:ascii="Times New Roman" w:eastAsia="Times New Roman" w:hAnsi="Times New Roman" w:cs="Times New Roman"/>
        </w:rPr>
        <w:t xml:space="preserve">Treatment dosages and administration schedules used to estimate drug acquisition costs were obtained from the corresponding prescribing information and published </w:t>
      </w:r>
      <w:r w:rsidRPr="00AA719D">
        <w:rPr>
          <w:rFonts w:ascii="Times New Roman" w:eastAsia="Times New Roman" w:hAnsi="Times New Roman" w:cs="Times New Roman"/>
        </w:rPr>
        <w:lastRenderedPageBreak/>
        <w:t xml:space="preserve">clinical studies. Regimen-specific schedules, modeled treatment durations, and data sources are summarized in </w:t>
      </w:r>
      <w:r w:rsidRPr="00AA719D">
        <w:rPr>
          <w:rFonts w:ascii="Times New Roman" w:eastAsia="Times New Roman" w:hAnsi="Times New Roman" w:cs="Times New Roman"/>
          <w:i/>
          <w:iCs/>
        </w:rPr>
        <w:t>Table S</w:t>
      </w:r>
      <w:r w:rsidR="00F95EB1" w:rsidRPr="00AA719D">
        <w:rPr>
          <w:rFonts w:ascii="Times New Roman" w:eastAsia="Times New Roman" w:hAnsi="Times New Roman" w:cs="Times New Roman"/>
          <w:i/>
          <w:iCs/>
        </w:rPr>
        <w:t>3</w:t>
      </w:r>
      <w:r w:rsidRPr="00AA719D">
        <w:rPr>
          <w:rFonts w:ascii="Times New Roman" w:eastAsia="Times New Roman" w:hAnsi="Times New Roman" w:cs="Times New Roman"/>
        </w:rPr>
        <w:t>.</w:t>
      </w:r>
    </w:p>
    <w:p w14:paraId="11B55A6C" w14:textId="436EB868" w:rsidR="008E1CAD" w:rsidRPr="008E1CAD" w:rsidRDefault="008E1CAD" w:rsidP="008E1CAD">
      <w:pPr>
        <w:spacing w:before="120" w:after="120"/>
        <w:rPr>
          <w:rFonts w:ascii="Times New Roman" w:eastAsia="Times New Roman" w:hAnsi="Times New Roman" w:cs="Times New Roman"/>
          <w:bCs/>
          <w:i/>
          <w:sz w:val="18"/>
        </w:rPr>
      </w:pPr>
      <w:r w:rsidRPr="00AA719D">
        <w:rPr>
          <w:rFonts w:ascii="Times New Roman" w:eastAsia="Times New Roman" w:hAnsi="Times New Roman" w:cs="Times New Roman"/>
          <w:b/>
          <w:i/>
          <w:sz w:val="18"/>
        </w:rPr>
        <w:t>Table S</w:t>
      </w:r>
      <w:r w:rsidR="00F95EB1">
        <w:rPr>
          <w:rFonts w:ascii="Times New Roman" w:eastAsia="Times New Roman" w:hAnsi="Times New Roman" w:cs="Times New Roman" w:hint="eastAsia"/>
          <w:b/>
          <w:i/>
          <w:sz w:val="18"/>
        </w:rPr>
        <w:t>3</w:t>
      </w:r>
      <w:r w:rsidRPr="00AA719D">
        <w:rPr>
          <w:rFonts w:ascii="Times New Roman" w:eastAsia="Times New Roman" w:hAnsi="Times New Roman" w:cs="Times New Roman"/>
          <w:b/>
          <w:i/>
          <w:sz w:val="18"/>
        </w:rPr>
        <w:t xml:space="preserve">. </w:t>
      </w:r>
      <w:r w:rsidRPr="00AA719D">
        <w:rPr>
          <w:rFonts w:ascii="Times New Roman" w:eastAsia="Times New Roman" w:hAnsi="Times New Roman" w:cs="Times New Roman"/>
          <w:bCs/>
          <w:i/>
          <w:sz w:val="18"/>
        </w:rPr>
        <w:t>Modeled dosage and administration schedules for treatment regimens included in the economic model.</w:t>
      </w:r>
    </w:p>
    <w:tbl>
      <w:tblPr>
        <w:tblW w:w="8280" w:type="dxa"/>
        <w:jc w:val="center"/>
        <w:tblLayout w:type="fixed"/>
        <w:tblLook w:val="04A0" w:firstRow="1" w:lastRow="0" w:firstColumn="1" w:lastColumn="0" w:noHBand="0" w:noVBand="1"/>
      </w:tblPr>
      <w:tblGrid>
        <w:gridCol w:w="1008"/>
        <w:gridCol w:w="4464"/>
        <w:gridCol w:w="1267"/>
        <w:gridCol w:w="1541"/>
      </w:tblGrid>
      <w:tr w:rsidR="008E1CAD" w:rsidRPr="008E1CAD" w14:paraId="6EA046CF" w14:textId="77777777" w:rsidTr="00AA719D">
        <w:trPr>
          <w:cantSplit/>
          <w:tblHeader/>
          <w:jc w:val="center"/>
        </w:trPr>
        <w:tc>
          <w:tcPr>
            <w:tcW w:w="1008" w:type="dxa"/>
            <w:tcBorders>
              <w:top w:val="single" w:sz="16" w:space="0" w:color="000000"/>
              <w:left w:val="nil"/>
              <w:bottom w:val="single" w:sz="8" w:space="0" w:color="000000"/>
              <w:right w:val="nil"/>
            </w:tcBorders>
            <w:tcMar>
              <w:top w:w="55" w:type="dxa"/>
              <w:left w:w="70" w:type="dxa"/>
              <w:bottom w:w="55" w:type="dxa"/>
              <w:right w:w="70" w:type="dxa"/>
            </w:tcMar>
            <w:vAlign w:val="center"/>
          </w:tcPr>
          <w:p w14:paraId="489B40B1"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b/>
                <w:sz w:val="18"/>
              </w:rPr>
              <w:t>Regimen</w:t>
            </w:r>
          </w:p>
        </w:tc>
        <w:tc>
          <w:tcPr>
            <w:tcW w:w="4464" w:type="dxa"/>
            <w:tcBorders>
              <w:top w:val="single" w:sz="16" w:space="0" w:color="000000"/>
              <w:left w:val="nil"/>
              <w:bottom w:val="single" w:sz="8" w:space="0" w:color="000000"/>
              <w:right w:val="nil"/>
            </w:tcBorders>
            <w:tcMar>
              <w:top w:w="55" w:type="dxa"/>
              <w:left w:w="70" w:type="dxa"/>
              <w:bottom w:w="55" w:type="dxa"/>
              <w:right w:w="70" w:type="dxa"/>
            </w:tcMar>
            <w:vAlign w:val="center"/>
          </w:tcPr>
          <w:p w14:paraId="070D9834"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b/>
                <w:sz w:val="18"/>
              </w:rPr>
              <w:t>Dose and administration schedule</w:t>
            </w:r>
          </w:p>
        </w:tc>
        <w:tc>
          <w:tcPr>
            <w:tcW w:w="1267" w:type="dxa"/>
            <w:tcBorders>
              <w:top w:val="single" w:sz="16" w:space="0" w:color="000000"/>
              <w:left w:val="nil"/>
              <w:bottom w:val="single" w:sz="8" w:space="0" w:color="000000"/>
              <w:right w:val="nil"/>
            </w:tcBorders>
            <w:tcMar>
              <w:top w:w="55" w:type="dxa"/>
              <w:left w:w="70" w:type="dxa"/>
              <w:bottom w:w="55" w:type="dxa"/>
              <w:right w:w="70" w:type="dxa"/>
            </w:tcMar>
            <w:vAlign w:val="center"/>
          </w:tcPr>
          <w:p w14:paraId="2F94A476"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b/>
                <w:sz w:val="18"/>
              </w:rPr>
              <w:t>Treatment duration</w:t>
            </w:r>
          </w:p>
        </w:tc>
        <w:tc>
          <w:tcPr>
            <w:tcW w:w="1541" w:type="dxa"/>
            <w:tcBorders>
              <w:top w:val="single" w:sz="16" w:space="0" w:color="000000"/>
              <w:left w:val="nil"/>
              <w:bottom w:val="single" w:sz="8" w:space="0" w:color="000000"/>
              <w:right w:val="nil"/>
            </w:tcBorders>
            <w:tcMar>
              <w:top w:w="55" w:type="dxa"/>
              <w:left w:w="70" w:type="dxa"/>
              <w:bottom w:w="55" w:type="dxa"/>
              <w:right w:w="70" w:type="dxa"/>
            </w:tcMar>
            <w:vAlign w:val="center"/>
          </w:tcPr>
          <w:p w14:paraId="747604BA"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b/>
                <w:sz w:val="18"/>
              </w:rPr>
              <w:t>Data source</w:t>
            </w:r>
          </w:p>
        </w:tc>
      </w:tr>
      <w:tr w:rsidR="008E1CAD" w:rsidRPr="008E1CAD" w14:paraId="68B9B210" w14:textId="77777777" w:rsidTr="00AA719D">
        <w:trPr>
          <w:cantSplit/>
          <w:jc w:val="center"/>
        </w:trPr>
        <w:tc>
          <w:tcPr>
            <w:tcW w:w="8280" w:type="dxa"/>
            <w:gridSpan w:val="4"/>
            <w:tcBorders>
              <w:top w:val="nil"/>
              <w:left w:val="nil"/>
              <w:bottom w:val="nil"/>
              <w:right w:val="nil"/>
            </w:tcBorders>
            <w:tcMar>
              <w:top w:w="55" w:type="dxa"/>
              <w:left w:w="70" w:type="dxa"/>
              <w:bottom w:w="55" w:type="dxa"/>
              <w:right w:w="70" w:type="dxa"/>
            </w:tcMar>
            <w:vAlign w:val="center"/>
          </w:tcPr>
          <w:p w14:paraId="15C95B21"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b/>
                <w:sz w:val="18"/>
              </w:rPr>
              <w:t>Front-line induction treatment</w:t>
            </w:r>
          </w:p>
        </w:tc>
      </w:tr>
      <w:tr w:rsidR="008E1CAD" w:rsidRPr="008E1CAD" w14:paraId="04E90E2C"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36F10F0B"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VRd</w:t>
            </w:r>
          </w:p>
        </w:tc>
        <w:tc>
          <w:tcPr>
            <w:tcW w:w="4464" w:type="dxa"/>
            <w:tcBorders>
              <w:top w:val="nil"/>
              <w:left w:val="nil"/>
              <w:bottom w:val="nil"/>
              <w:right w:val="nil"/>
            </w:tcBorders>
            <w:tcMar>
              <w:top w:w="55" w:type="dxa"/>
              <w:left w:w="70" w:type="dxa"/>
              <w:bottom w:w="55" w:type="dxa"/>
              <w:right w:w="70" w:type="dxa"/>
            </w:tcMar>
            <w:vAlign w:val="center"/>
          </w:tcPr>
          <w:p w14:paraId="58DADCCE"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lenalidomide: 25 mg orally once daily on days 1-21;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5F55B36F"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75D1990A"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Liu 2024</w:t>
            </w:r>
          </w:p>
        </w:tc>
      </w:tr>
      <w:tr w:rsidR="008E1CAD" w:rsidRPr="008E1CAD" w14:paraId="5226A71E"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7BD1531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VCd</w:t>
            </w:r>
          </w:p>
        </w:tc>
        <w:tc>
          <w:tcPr>
            <w:tcW w:w="4464" w:type="dxa"/>
            <w:tcBorders>
              <w:top w:val="nil"/>
              <w:left w:val="nil"/>
              <w:bottom w:val="nil"/>
              <w:right w:val="nil"/>
            </w:tcBorders>
            <w:tcMar>
              <w:top w:w="55" w:type="dxa"/>
              <w:left w:w="70" w:type="dxa"/>
              <w:bottom w:w="55" w:type="dxa"/>
              <w:right w:w="70" w:type="dxa"/>
            </w:tcMar>
            <w:vAlign w:val="center"/>
          </w:tcPr>
          <w:p w14:paraId="286CD65F"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cyclophosphamide: 750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7268C5A9"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3873EBB7"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Liu 2024</w:t>
            </w:r>
          </w:p>
        </w:tc>
      </w:tr>
      <w:tr w:rsidR="008E1CAD" w:rsidRPr="008E1CAD" w14:paraId="45DD7FAC"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2FE6095C"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VAd</w:t>
            </w:r>
          </w:p>
        </w:tc>
        <w:tc>
          <w:tcPr>
            <w:tcW w:w="4464" w:type="dxa"/>
            <w:tcBorders>
              <w:top w:val="nil"/>
              <w:left w:val="nil"/>
              <w:bottom w:val="nil"/>
              <w:right w:val="nil"/>
            </w:tcBorders>
            <w:tcMar>
              <w:top w:w="55" w:type="dxa"/>
              <w:left w:w="70" w:type="dxa"/>
              <w:bottom w:w="55" w:type="dxa"/>
              <w:right w:w="70" w:type="dxa"/>
            </w:tcMar>
            <w:vAlign w:val="center"/>
          </w:tcPr>
          <w:p w14:paraId="2701D1A2"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doxorubicin: 35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0BD40B1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60B9757F"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Liu 2024</w:t>
            </w:r>
          </w:p>
        </w:tc>
      </w:tr>
      <w:tr w:rsidR="008E1CAD" w:rsidRPr="008E1CAD" w14:paraId="30EA479E"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5D77D0F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Vd</w:t>
            </w:r>
          </w:p>
        </w:tc>
        <w:tc>
          <w:tcPr>
            <w:tcW w:w="4464" w:type="dxa"/>
            <w:tcBorders>
              <w:top w:val="nil"/>
              <w:left w:val="nil"/>
              <w:bottom w:val="nil"/>
              <w:right w:val="nil"/>
            </w:tcBorders>
            <w:tcMar>
              <w:top w:w="55" w:type="dxa"/>
              <w:left w:w="70" w:type="dxa"/>
              <w:bottom w:w="55" w:type="dxa"/>
              <w:right w:w="70" w:type="dxa"/>
            </w:tcMar>
            <w:vAlign w:val="center"/>
          </w:tcPr>
          <w:p w14:paraId="58984149"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640D7824"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73C6E91F"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Liu 2024</w:t>
            </w:r>
          </w:p>
        </w:tc>
      </w:tr>
      <w:tr w:rsidR="008E1CAD" w:rsidRPr="008E1CAD" w14:paraId="50473219"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26CA4DE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VTd</w:t>
            </w:r>
          </w:p>
        </w:tc>
        <w:tc>
          <w:tcPr>
            <w:tcW w:w="4464" w:type="dxa"/>
            <w:tcBorders>
              <w:top w:val="nil"/>
              <w:left w:val="nil"/>
              <w:bottom w:val="nil"/>
              <w:right w:val="nil"/>
            </w:tcBorders>
            <w:tcMar>
              <w:top w:w="55" w:type="dxa"/>
              <w:left w:w="70" w:type="dxa"/>
              <w:bottom w:w="55" w:type="dxa"/>
              <w:right w:w="70" w:type="dxa"/>
            </w:tcMar>
            <w:vAlign w:val="center"/>
          </w:tcPr>
          <w:p w14:paraId="3A1B0755"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Thalidomide: 100 mg orally once daily; bortezomib: 1.3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39F52A1C"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0D5D5309"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Liu 2024</w:t>
            </w:r>
          </w:p>
        </w:tc>
      </w:tr>
      <w:tr w:rsidR="008E1CAD" w:rsidRPr="008E1CAD" w14:paraId="6B4F60E3"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5659BAE7"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DRd</w:t>
            </w:r>
          </w:p>
        </w:tc>
        <w:tc>
          <w:tcPr>
            <w:tcW w:w="4464" w:type="dxa"/>
            <w:tcBorders>
              <w:top w:val="nil"/>
              <w:left w:val="nil"/>
              <w:bottom w:val="nil"/>
              <w:right w:val="nil"/>
            </w:tcBorders>
            <w:tcMar>
              <w:top w:w="55" w:type="dxa"/>
              <w:left w:w="70" w:type="dxa"/>
              <w:bottom w:w="55" w:type="dxa"/>
              <w:right w:w="70" w:type="dxa"/>
            </w:tcMar>
            <w:vAlign w:val="center"/>
          </w:tcPr>
          <w:p w14:paraId="4B64173E"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25 mg orally once daily on days 1-21; dexamethasone: 40 mg once weekly; daratumumab: once weekly during weeks 1-8 and once every 2 weeks during weeks 9-24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59DC91D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6 cycles</w:t>
            </w:r>
          </w:p>
        </w:tc>
        <w:tc>
          <w:tcPr>
            <w:tcW w:w="1541" w:type="dxa"/>
            <w:tcBorders>
              <w:top w:val="nil"/>
              <w:left w:val="nil"/>
              <w:bottom w:val="nil"/>
              <w:right w:val="nil"/>
            </w:tcBorders>
            <w:tcMar>
              <w:top w:w="55" w:type="dxa"/>
              <w:left w:w="70" w:type="dxa"/>
              <w:bottom w:w="55" w:type="dxa"/>
              <w:right w:w="70" w:type="dxa"/>
            </w:tcMar>
            <w:vAlign w:val="center"/>
          </w:tcPr>
          <w:p w14:paraId="7DD4E483"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prescribing information (July 14, 2023)</w:t>
            </w:r>
          </w:p>
        </w:tc>
      </w:tr>
      <w:tr w:rsidR="008E1CAD" w:rsidRPr="008E1CAD" w14:paraId="6BE680D7" w14:textId="77777777" w:rsidTr="00AA719D">
        <w:trPr>
          <w:cantSplit/>
          <w:jc w:val="center"/>
        </w:trPr>
        <w:tc>
          <w:tcPr>
            <w:tcW w:w="8280" w:type="dxa"/>
            <w:gridSpan w:val="4"/>
            <w:tcBorders>
              <w:top w:val="nil"/>
              <w:left w:val="nil"/>
              <w:bottom w:val="nil"/>
              <w:right w:val="nil"/>
            </w:tcBorders>
            <w:tcMar>
              <w:top w:w="55" w:type="dxa"/>
              <w:left w:w="70" w:type="dxa"/>
              <w:bottom w:w="55" w:type="dxa"/>
              <w:right w:w="70" w:type="dxa"/>
            </w:tcMar>
            <w:vAlign w:val="center"/>
          </w:tcPr>
          <w:p w14:paraId="5F44C280"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b/>
                <w:sz w:val="18"/>
              </w:rPr>
              <w:t>Subsequent-line induction treatment</w:t>
            </w:r>
          </w:p>
        </w:tc>
      </w:tr>
      <w:tr w:rsidR="008E1CAD" w:rsidRPr="008E1CAD" w14:paraId="1637E9D4"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04E997D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DRd</w:t>
            </w:r>
          </w:p>
        </w:tc>
        <w:tc>
          <w:tcPr>
            <w:tcW w:w="4464" w:type="dxa"/>
            <w:tcBorders>
              <w:top w:val="nil"/>
              <w:left w:val="nil"/>
              <w:bottom w:val="nil"/>
              <w:right w:val="nil"/>
            </w:tcBorders>
            <w:tcMar>
              <w:top w:w="55" w:type="dxa"/>
              <w:left w:w="70" w:type="dxa"/>
              <w:bottom w:w="55" w:type="dxa"/>
              <w:right w:w="70" w:type="dxa"/>
            </w:tcMar>
            <w:vAlign w:val="center"/>
          </w:tcPr>
          <w:p w14:paraId="1073D886"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25 mg orally once daily on days 1-21; dexamethasone: 40 mg once weekly; daratumumab: once weekly during weeks 1-8 and once every 2 weeks during weeks 9-24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47463AFC"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6 cycles</w:t>
            </w:r>
          </w:p>
        </w:tc>
        <w:tc>
          <w:tcPr>
            <w:tcW w:w="1541" w:type="dxa"/>
            <w:tcBorders>
              <w:top w:val="nil"/>
              <w:left w:val="nil"/>
              <w:bottom w:val="nil"/>
              <w:right w:val="nil"/>
            </w:tcBorders>
            <w:tcMar>
              <w:top w:w="55" w:type="dxa"/>
              <w:left w:w="70" w:type="dxa"/>
              <w:bottom w:w="55" w:type="dxa"/>
              <w:right w:w="70" w:type="dxa"/>
            </w:tcMar>
            <w:vAlign w:val="center"/>
          </w:tcPr>
          <w:p w14:paraId="6C51B920"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prescribing information (July 14, 2023)</w:t>
            </w:r>
          </w:p>
        </w:tc>
      </w:tr>
      <w:tr w:rsidR="008E1CAD" w:rsidRPr="008E1CAD" w14:paraId="7DD300C5"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7A121E63"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DPd</w:t>
            </w:r>
          </w:p>
        </w:tc>
        <w:tc>
          <w:tcPr>
            <w:tcW w:w="4464" w:type="dxa"/>
            <w:tcBorders>
              <w:top w:val="nil"/>
              <w:left w:val="nil"/>
              <w:bottom w:val="nil"/>
              <w:right w:val="nil"/>
            </w:tcBorders>
            <w:tcMar>
              <w:top w:w="55" w:type="dxa"/>
              <w:left w:w="70" w:type="dxa"/>
              <w:bottom w:w="55" w:type="dxa"/>
              <w:right w:w="70" w:type="dxa"/>
            </w:tcMar>
            <w:vAlign w:val="center"/>
          </w:tcPr>
          <w:p w14:paraId="2424BAE5"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4 mg orally once daily on days 1-21; dexamethasone: 20 mg on days 1, 2, 4, 5, 7, 8, 10, and 11; daratumumab: administered on days 1, 8, 15, and 22 of cycles 1-2, on days 1 and 15 of cycles 3-4, and once every 4 weeks from cycle 5 onward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3022B1A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6 cycles</w:t>
            </w:r>
          </w:p>
        </w:tc>
        <w:tc>
          <w:tcPr>
            <w:tcW w:w="1541" w:type="dxa"/>
            <w:tcBorders>
              <w:top w:val="nil"/>
              <w:left w:val="nil"/>
              <w:bottom w:val="nil"/>
              <w:right w:val="nil"/>
            </w:tcBorders>
            <w:tcMar>
              <w:top w:w="55" w:type="dxa"/>
              <w:left w:w="70" w:type="dxa"/>
              <w:bottom w:w="55" w:type="dxa"/>
              <w:right w:w="70" w:type="dxa"/>
            </w:tcMar>
            <w:vAlign w:val="center"/>
          </w:tcPr>
          <w:p w14:paraId="3E05C13C"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Lu 2023; daratumumab prescribing information (July 14, 2023)</w:t>
            </w:r>
          </w:p>
        </w:tc>
      </w:tr>
      <w:tr w:rsidR="008E1CAD" w:rsidRPr="008E1CAD" w14:paraId="3FD07AD3"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22D18DF0"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Dd</w:t>
            </w:r>
          </w:p>
        </w:tc>
        <w:tc>
          <w:tcPr>
            <w:tcW w:w="4464" w:type="dxa"/>
            <w:tcBorders>
              <w:top w:val="nil"/>
              <w:left w:val="nil"/>
              <w:bottom w:val="nil"/>
              <w:right w:val="nil"/>
            </w:tcBorders>
            <w:tcMar>
              <w:top w:w="55" w:type="dxa"/>
              <w:left w:w="70" w:type="dxa"/>
              <w:bottom w:w="55" w:type="dxa"/>
              <w:right w:w="70" w:type="dxa"/>
            </w:tcMar>
            <w:vAlign w:val="center"/>
          </w:tcPr>
          <w:p w14:paraId="5C3EFA24"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once weekly during weeks 1-8, once every 2 weeks during weeks 9-16, and once every 4 weeks from week 17 onward (16 mg/kg intravenously in the base case or 1,800 mg subcutaneously in the scenario analysis); dexamethasone: 20 mg on days 1, 2, 4, 5, 8, 9, 11, and 12.</w:t>
            </w:r>
          </w:p>
        </w:tc>
        <w:tc>
          <w:tcPr>
            <w:tcW w:w="1267" w:type="dxa"/>
            <w:tcBorders>
              <w:top w:val="nil"/>
              <w:left w:val="nil"/>
              <w:bottom w:val="nil"/>
              <w:right w:val="nil"/>
            </w:tcBorders>
            <w:tcMar>
              <w:top w:w="55" w:type="dxa"/>
              <w:left w:w="70" w:type="dxa"/>
              <w:bottom w:w="55" w:type="dxa"/>
              <w:right w:w="70" w:type="dxa"/>
            </w:tcMar>
            <w:vAlign w:val="center"/>
          </w:tcPr>
          <w:p w14:paraId="770F1BA1"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6 cycles</w:t>
            </w:r>
          </w:p>
        </w:tc>
        <w:tc>
          <w:tcPr>
            <w:tcW w:w="1541" w:type="dxa"/>
            <w:tcBorders>
              <w:top w:val="nil"/>
              <w:left w:val="nil"/>
              <w:bottom w:val="nil"/>
              <w:right w:val="nil"/>
            </w:tcBorders>
            <w:tcMar>
              <w:top w:w="55" w:type="dxa"/>
              <w:left w:w="70" w:type="dxa"/>
              <w:bottom w:w="55" w:type="dxa"/>
              <w:right w:w="70" w:type="dxa"/>
            </w:tcMar>
            <w:vAlign w:val="center"/>
          </w:tcPr>
          <w:p w14:paraId="19A3E68D"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Liu 2021a; daratumumab prescribing information (July 14, 2023)</w:t>
            </w:r>
          </w:p>
        </w:tc>
      </w:tr>
      <w:tr w:rsidR="008E1CAD" w:rsidRPr="008E1CAD" w14:paraId="130CF099"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3C04D50F"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Dara mono</w:t>
            </w:r>
          </w:p>
        </w:tc>
        <w:tc>
          <w:tcPr>
            <w:tcW w:w="4464" w:type="dxa"/>
            <w:tcBorders>
              <w:top w:val="nil"/>
              <w:left w:val="nil"/>
              <w:bottom w:val="nil"/>
              <w:right w:val="nil"/>
            </w:tcBorders>
            <w:tcMar>
              <w:top w:w="55" w:type="dxa"/>
              <w:left w:w="70" w:type="dxa"/>
              <w:bottom w:w="55" w:type="dxa"/>
              <w:right w:w="70" w:type="dxa"/>
            </w:tcMar>
            <w:vAlign w:val="center"/>
          </w:tcPr>
          <w:p w14:paraId="206E6336"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once weekly during weeks 1-8 and once every 2 weeks during weeks 9-24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45E0E263"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6 cycles</w:t>
            </w:r>
          </w:p>
        </w:tc>
        <w:tc>
          <w:tcPr>
            <w:tcW w:w="1541" w:type="dxa"/>
            <w:tcBorders>
              <w:top w:val="nil"/>
              <w:left w:val="nil"/>
              <w:bottom w:val="nil"/>
              <w:right w:val="nil"/>
            </w:tcBorders>
            <w:tcMar>
              <w:top w:w="55" w:type="dxa"/>
              <w:left w:w="70" w:type="dxa"/>
              <w:bottom w:w="55" w:type="dxa"/>
              <w:right w:w="70" w:type="dxa"/>
            </w:tcMar>
            <w:vAlign w:val="center"/>
          </w:tcPr>
          <w:p w14:paraId="5F59CCA6"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prescribing information (July 14, 2023)</w:t>
            </w:r>
          </w:p>
        </w:tc>
      </w:tr>
      <w:tr w:rsidR="008E1CAD" w:rsidRPr="008E1CAD" w14:paraId="11367704"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7276CD7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VPd</w:t>
            </w:r>
          </w:p>
        </w:tc>
        <w:tc>
          <w:tcPr>
            <w:tcW w:w="4464" w:type="dxa"/>
            <w:tcBorders>
              <w:top w:val="nil"/>
              <w:left w:val="nil"/>
              <w:bottom w:val="nil"/>
              <w:right w:val="nil"/>
            </w:tcBorders>
            <w:tcMar>
              <w:top w:w="55" w:type="dxa"/>
              <w:left w:w="70" w:type="dxa"/>
              <w:bottom w:w="55" w:type="dxa"/>
              <w:right w:w="70" w:type="dxa"/>
            </w:tcMar>
            <w:vAlign w:val="center"/>
          </w:tcPr>
          <w:p w14:paraId="52B50454"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8, 15, and 22; pomalidomide: 4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0573EA0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8 cycles</w:t>
            </w:r>
          </w:p>
        </w:tc>
        <w:tc>
          <w:tcPr>
            <w:tcW w:w="1541" w:type="dxa"/>
            <w:tcBorders>
              <w:top w:val="nil"/>
              <w:left w:val="nil"/>
              <w:bottom w:val="nil"/>
              <w:right w:val="nil"/>
            </w:tcBorders>
            <w:tcMar>
              <w:top w:w="55" w:type="dxa"/>
              <w:left w:w="70" w:type="dxa"/>
              <w:bottom w:w="55" w:type="dxa"/>
              <w:right w:w="70" w:type="dxa"/>
            </w:tcMar>
            <w:vAlign w:val="center"/>
          </w:tcPr>
          <w:p w14:paraId="4AE6BEE7" w14:textId="482F8561"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Wang 2023</w:t>
            </w:r>
            <w:r w:rsidR="00791E18">
              <w:rPr>
                <w:rFonts w:ascii="Times New Roman" w:eastAsia="Times New Roman" w:hAnsi="Times New Roman" w:cs="Times New Roman" w:hint="eastAsia"/>
                <w:sz w:val="18"/>
              </w:rPr>
              <w:t>a</w:t>
            </w:r>
          </w:p>
        </w:tc>
      </w:tr>
      <w:tr w:rsidR="008E1CAD" w:rsidRPr="008E1CAD" w14:paraId="075A9DCB"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718098C9"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VCd</w:t>
            </w:r>
          </w:p>
        </w:tc>
        <w:tc>
          <w:tcPr>
            <w:tcW w:w="4464" w:type="dxa"/>
            <w:tcBorders>
              <w:top w:val="nil"/>
              <w:left w:val="nil"/>
              <w:bottom w:val="nil"/>
              <w:right w:val="nil"/>
            </w:tcBorders>
            <w:tcMar>
              <w:top w:w="55" w:type="dxa"/>
              <w:left w:w="70" w:type="dxa"/>
              <w:bottom w:w="55" w:type="dxa"/>
              <w:right w:w="70" w:type="dxa"/>
            </w:tcMar>
            <w:vAlign w:val="center"/>
          </w:tcPr>
          <w:p w14:paraId="6D724A08"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cyclophosphamide: 750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548F0E37"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0F2130D2"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 Han 2019</w:t>
            </w:r>
          </w:p>
        </w:tc>
      </w:tr>
      <w:tr w:rsidR="008E1CAD" w:rsidRPr="008E1CAD" w14:paraId="7CA327EE"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3A641C6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lastRenderedPageBreak/>
              <w:t>Pd</w:t>
            </w:r>
          </w:p>
        </w:tc>
        <w:tc>
          <w:tcPr>
            <w:tcW w:w="4464" w:type="dxa"/>
            <w:tcBorders>
              <w:top w:val="nil"/>
              <w:left w:val="nil"/>
              <w:bottom w:val="nil"/>
              <w:right w:val="nil"/>
            </w:tcBorders>
            <w:tcMar>
              <w:top w:w="55" w:type="dxa"/>
              <w:left w:w="70" w:type="dxa"/>
              <w:bottom w:w="55" w:type="dxa"/>
              <w:right w:w="70" w:type="dxa"/>
            </w:tcMar>
            <w:vAlign w:val="center"/>
          </w:tcPr>
          <w:p w14:paraId="2DA1B8D0"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4 mg orally once daily on days 1-21; dexamethasone: 40 mg once weekly.</w:t>
            </w:r>
          </w:p>
        </w:tc>
        <w:tc>
          <w:tcPr>
            <w:tcW w:w="1267" w:type="dxa"/>
            <w:tcBorders>
              <w:top w:val="nil"/>
              <w:left w:val="nil"/>
              <w:bottom w:val="nil"/>
              <w:right w:val="nil"/>
            </w:tcBorders>
            <w:tcMar>
              <w:top w:w="55" w:type="dxa"/>
              <w:left w:w="70" w:type="dxa"/>
              <w:bottom w:w="55" w:type="dxa"/>
              <w:right w:w="70" w:type="dxa"/>
            </w:tcMar>
            <w:vAlign w:val="center"/>
          </w:tcPr>
          <w:p w14:paraId="303BDBE7"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3 cycles</w:t>
            </w:r>
          </w:p>
        </w:tc>
        <w:tc>
          <w:tcPr>
            <w:tcW w:w="1541" w:type="dxa"/>
            <w:tcBorders>
              <w:top w:val="nil"/>
              <w:left w:val="nil"/>
              <w:bottom w:val="nil"/>
              <w:right w:val="nil"/>
            </w:tcBorders>
            <w:tcMar>
              <w:top w:w="55" w:type="dxa"/>
              <w:left w:w="70" w:type="dxa"/>
              <w:bottom w:w="55" w:type="dxa"/>
              <w:right w:w="70" w:type="dxa"/>
            </w:tcMar>
            <w:vAlign w:val="center"/>
          </w:tcPr>
          <w:p w14:paraId="03700CAE"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prescribing information (February 25, 2022); Hung 2021; Lee 2019</w:t>
            </w:r>
          </w:p>
        </w:tc>
      </w:tr>
      <w:tr w:rsidR="008E1CAD" w:rsidRPr="008E1CAD" w14:paraId="1D729D78"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1A3FC28F"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KRd</w:t>
            </w:r>
          </w:p>
        </w:tc>
        <w:tc>
          <w:tcPr>
            <w:tcW w:w="4464" w:type="dxa"/>
            <w:tcBorders>
              <w:top w:val="nil"/>
              <w:left w:val="nil"/>
              <w:bottom w:val="nil"/>
              <w:right w:val="nil"/>
            </w:tcBorders>
            <w:tcMar>
              <w:top w:w="55" w:type="dxa"/>
              <w:left w:w="70" w:type="dxa"/>
              <w:bottom w:w="55" w:type="dxa"/>
              <w:right w:w="70" w:type="dxa"/>
            </w:tcMar>
            <w:vAlign w:val="center"/>
          </w:tcPr>
          <w:p w14:paraId="1B17AD69"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20 mg/m² intravenously on days 1 and 2 of cycle 1, increased to 27 mg/m² from day 8, and administered on days 1, 2, 8, 9, 15, and 16; lenalidomide: 25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7664573A"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02735438"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Yoroidaka 2023; Kawaji-Kanayama 2022; Kawasaki 2022; Lee 2021</w:t>
            </w:r>
          </w:p>
        </w:tc>
      </w:tr>
      <w:tr w:rsidR="008E1CAD" w:rsidRPr="008E1CAD" w14:paraId="32EE5C9C"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510FD61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Kd</w:t>
            </w:r>
          </w:p>
        </w:tc>
        <w:tc>
          <w:tcPr>
            <w:tcW w:w="4464" w:type="dxa"/>
            <w:tcBorders>
              <w:top w:val="nil"/>
              <w:left w:val="nil"/>
              <w:bottom w:val="nil"/>
              <w:right w:val="nil"/>
            </w:tcBorders>
            <w:tcMar>
              <w:top w:w="55" w:type="dxa"/>
              <w:left w:w="70" w:type="dxa"/>
              <w:bottom w:w="55" w:type="dxa"/>
              <w:right w:w="70" w:type="dxa"/>
            </w:tcMar>
            <w:vAlign w:val="center"/>
          </w:tcPr>
          <w:p w14:paraId="67961F5A"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20 mg/m² intravenously on days 1 and 2 of cycle 1, increased to 27 mg/m² from day 8, and administered on days 1, 2, 8, 9, 15, and 16; dexamethasone: 20 mg orally or intravenously on days 1, 2, 8, 9, 15, 16, 22, and 23.</w:t>
            </w:r>
          </w:p>
        </w:tc>
        <w:tc>
          <w:tcPr>
            <w:tcW w:w="1267" w:type="dxa"/>
            <w:tcBorders>
              <w:top w:val="nil"/>
              <w:left w:val="nil"/>
              <w:bottom w:val="nil"/>
              <w:right w:val="nil"/>
            </w:tcBorders>
            <w:tcMar>
              <w:top w:w="55" w:type="dxa"/>
              <w:left w:w="70" w:type="dxa"/>
              <w:bottom w:w="55" w:type="dxa"/>
              <w:right w:w="70" w:type="dxa"/>
            </w:tcMar>
            <w:vAlign w:val="center"/>
          </w:tcPr>
          <w:p w14:paraId="053DB377"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2B1A81B2"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prescribing information (July 6, 2023); Abe 2024; Kawaji-Kanayama 2022; Lee 2019</w:t>
            </w:r>
          </w:p>
        </w:tc>
      </w:tr>
      <w:tr w:rsidR="008E1CAD" w:rsidRPr="008E1CAD" w14:paraId="61580DDF"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7D63A96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Rd</w:t>
            </w:r>
          </w:p>
        </w:tc>
        <w:tc>
          <w:tcPr>
            <w:tcW w:w="4464" w:type="dxa"/>
            <w:tcBorders>
              <w:top w:val="nil"/>
              <w:left w:val="nil"/>
              <w:bottom w:val="nil"/>
              <w:right w:val="nil"/>
            </w:tcBorders>
            <w:tcMar>
              <w:top w:w="55" w:type="dxa"/>
              <w:left w:w="70" w:type="dxa"/>
              <w:bottom w:w="55" w:type="dxa"/>
              <w:right w:w="70" w:type="dxa"/>
            </w:tcMar>
            <w:vAlign w:val="center"/>
          </w:tcPr>
          <w:p w14:paraId="7367DC37"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25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7278228A"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4 cycles</w:t>
            </w:r>
          </w:p>
        </w:tc>
        <w:tc>
          <w:tcPr>
            <w:tcW w:w="1541" w:type="dxa"/>
            <w:tcBorders>
              <w:top w:val="nil"/>
              <w:left w:val="nil"/>
              <w:bottom w:val="nil"/>
              <w:right w:val="nil"/>
            </w:tcBorders>
            <w:tcMar>
              <w:top w:w="55" w:type="dxa"/>
              <w:left w:w="70" w:type="dxa"/>
              <w:bottom w:w="55" w:type="dxa"/>
              <w:right w:w="70" w:type="dxa"/>
            </w:tcMar>
            <w:vAlign w:val="center"/>
          </w:tcPr>
          <w:p w14:paraId="05D1EC04"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prescribing information (April 15, 2024); Jo 2020; Kawasaki 2022</w:t>
            </w:r>
          </w:p>
        </w:tc>
      </w:tr>
      <w:tr w:rsidR="008E1CAD" w:rsidRPr="008E1CAD" w14:paraId="00449287" w14:textId="77777777" w:rsidTr="00AA719D">
        <w:trPr>
          <w:cantSplit/>
          <w:jc w:val="center"/>
        </w:trPr>
        <w:tc>
          <w:tcPr>
            <w:tcW w:w="8280" w:type="dxa"/>
            <w:gridSpan w:val="4"/>
            <w:tcBorders>
              <w:top w:val="nil"/>
              <w:left w:val="nil"/>
              <w:bottom w:val="nil"/>
              <w:right w:val="nil"/>
            </w:tcBorders>
            <w:tcMar>
              <w:top w:w="55" w:type="dxa"/>
              <w:left w:w="70" w:type="dxa"/>
              <w:bottom w:w="55" w:type="dxa"/>
              <w:right w:w="70" w:type="dxa"/>
            </w:tcMar>
            <w:vAlign w:val="center"/>
          </w:tcPr>
          <w:p w14:paraId="0A191B9A"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b/>
                <w:sz w:val="18"/>
              </w:rPr>
              <w:t>Continuous/maintenance treatment</w:t>
            </w:r>
          </w:p>
        </w:tc>
      </w:tr>
      <w:tr w:rsidR="008E1CAD" w:rsidRPr="008E1CAD" w14:paraId="24C45ADD"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61B605A1"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IRd</w:t>
            </w:r>
          </w:p>
        </w:tc>
        <w:tc>
          <w:tcPr>
            <w:tcW w:w="4464" w:type="dxa"/>
            <w:tcBorders>
              <w:top w:val="nil"/>
              <w:left w:val="nil"/>
              <w:bottom w:val="nil"/>
              <w:right w:val="nil"/>
            </w:tcBorders>
            <w:tcMar>
              <w:top w:w="55" w:type="dxa"/>
              <w:left w:w="70" w:type="dxa"/>
              <w:bottom w:w="55" w:type="dxa"/>
              <w:right w:w="70" w:type="dxa"/>
            </w:tcMar>
            <w:vAlign w:val="center"/>
          </w:tcPr>
          <w:p w14:paraId="1F02E15C"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Ixazomib: 4 mg orally on days 1, 8, and 15; lenalidomide: 25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4C8C4F8D"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3DD4B8DA"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Ixazomib prescribing information (July 22, 2021)</w:t>
            </w:r>
          </w:p>
        </w:tc>
      </w:tr>
      <w:tr w:rsidR="008E1CAD" w:rsidRPr="008E1CAD" w14:paraId="6D011E0C"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1BDE97B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DRd</w:t>
            </w:r>
          </w:p>
        </w:tc>
        <w:tc>
          <w:tcPr>
            <w:tcW w:w="4464" w:type="dxa"/>
            <w:tcBorders>
              <w:top w:val="nil"/>
              <w:left w:val="nil"/>
              <w:bottom w:val="nil"/>
              <w:right w:val="nil"/>
            </w:tcBorders>
            <w:tcMar>
              <w:top w:w="55" w:type="dxa"/>
              <w:left w:w="70" w:type="dxa"/>
              <w:bottom w:w="55" w:type="dxa"/>
              <w:right w:w="70" w:type="dxa"/>
            </w:tcMar>
            <w:vAlign w:val="center"/>
          </w:tcPr>
          <w:p w14:paraId="456E3F1C"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25 mg orally once daily on days 1-21; dexamethasone: 40 mg once weekly; daratumumab: once every 4 weeks from week 25 onward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3177FEE6"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637A7C58"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prescribing information (July 14, 2023)</w:t>
            </w:r>
          </w:p>
        </w:tc>
      </w:tr>
      <w:tr w:rsidR="008E1CAD" w:rsidRPr="008E1CAD" w14:paraId="1109A918"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5EEAA9A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DPd</w:t>
            </w:r>
          </w:p>
        </w:tc>
        <w:tc>
          <w:tcPr>
            <w:tcW w:w="4464" w:type="dxa"/>
            <w:tcBorders>
              <w:top w:val="nil"/>
              <w:left w:val="nil"/>
              <w:bottom w:val="nil"/>
              <w:right w:val="nil"/>
            </w:tcBorders>
            <w:tcMar>
              <w:top w:w="55" w:type="dxa"/>
              <w:left w:w="70" w:type="dxa"/>
              <w:bottom w:w="55" w:type="dxa"/>
              <w:right w:w="70" w:type="dxa"/>
            </w:tcMar>
            <w:vAlign w:val="center"/>
          </w:tcPr>
          <w:p w14:paraId="6B7AFF5F"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4 mg orally once daily on days 1-21; dexamethasone: 20 mg on days 1, 2, 4, 5, 7, 8, 10, and 11; daratumumab: administered once every 4 weeks from cycle 5 onward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68A3D6F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7079F06E"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Lu 2023</w:t>
            </w:r>
          </w:p>
        </w:tc>
      </w:tr>
      <w:tr w:rsidR="008E1CAD" w:rsidRPr="008E1CAD" w14:paraId="612F0768"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3AA8BE6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Dd</w:t>
            </w:r>
          </w:p>
        </w:tc>
        <w:tc>
          <w:tcPr>
            <w:tcW w:w="4464" w:type="dxa"/>
            <w:tcBorders>
              <w:top w:val="nil"/>
              <w:left w:val="nil"/>
              <w:bottom w:val="nil"/>
              <w:right w:val="nil"/>
            </w:tcBorders>
            <w:tcMar>
              <w:top w:w="55" w:type="dxa"/>
              <w:left w:w="70" w:type="dxa"/>
              <w:bottom w:w="55" w:type="dxa"/>
              <w:right w:w="70" w:type="dxa"/>
            </w:tcMar>
            <w:vAlign w:val="center"/>
          </w:tcPr>
          <w:p w14:paraId="769C8612"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once every 4 weeks from week 17 onward (16 mg/kg intravenously in the base case or 1,800 mg subcutaneously in the scenario analysis); dexamethasone: 20 mg on days 1, 2, 4, 5, 8, 9, 11, and 12.</w:t>
            </w:r>
          </w:p>
        </w:tc>
        <w:tc>
          <w:tcPr>
            <w:tcW w:w="1267" w:type="dxa"/>
            <w:tcBorders>
              <w:top w:val="nil"/>
              <w:left w:val="nil"/>
              <w:bottom w:val="nil"/>
              <w:right w:val="nil"/>
            </w:tcBorders>
            <w:tcMar>
              <w:top w:w="55" w:type="dxa"/>
              <w:left w:w="70" w:type="dxa"/>
              <w:bottom w:w="55" w:type="dxa"/>
              <w:right w:w="70" w:type="dxa"/>
            </w:tcMar>
            <w:vAlign w:val="center"/>
          </w:tcPr>
          <w:p w14:paraId="6DD063E3"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6E94E556"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Liu 2021a</w:t>
            </w:r>
          </w:p>
        </w:tc>
      </w:tr>
      <w:tr w:rsidR="008E1CAD" w:rsidRPr="008E1CAD" w14:paraId="1193D811"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643C01A9"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Dara mono</w:t>
            </w:r>
          </w:p>
        </w:tc>
        <w:tc>
          <w:tcPr>
            <w:tcW w:w="4464" w:type="dxa"/>
            <w:tcBorders>
              <w:top w:val="nil"/>
              <w:left w:val="nil"/>
              <w:bottom w:val="nil"/>
              <w:right w:val="nil"/>
            </w:tcBorders>
            <w:tcMar>
              <w:top w:w="55" w:type="dxa"/>
              <w:left w:w="70" w:type="dxa"/>
              <w:bottom w:w="55" w:type="dxa"/>
              <w:right w:w="70" w:type="dxa"/>
            </w:tcMar>
            <w:vAlign w:val="center"/>
          </w:tcPr>
          <w:p w14:paraId="6D18AB46"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once every 4 weeks from week 25 onward (16 mg/kg intravenously in the base case or 1,800 mg subcutaneously in the scenario analysis).</w:t>
            </w:r>
          </w:p>
        </w:tc>
        <w:tc>
          <w:tcPr>
            <w:tcW w:w="1267" w:type="dxa"/>
            <w:tcBorders>
              <w:top w:val="nil"/>
              <w:left w:val="nil"/>
              <w:bottom w:val="nil"/>
              <w:right w:val="nil"/>
            </w:tcBorders>
            <w:tcMar>
              <w:top w:w="55" w:type="dxa"/>
              <w:left w:w="70" w:type="dxa"/>
              <w:bottom w:w="55" w:type="dxa"/>
              <w:right w:w="70" w:type="dxa"/>
            </w:tcMar>
            <w:vAlign w:val="center"/>
          </w:tcPr>
          <w:p w14:paraId="666F986F"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6237CBD7"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Daratumumab prescribing information (July 14, 2023)</w:t>
            </w:r>
          </w:p>
        </w:tc>
      </w:tr>
      <w:tr w:rsidR="008E1CAD" w:rsidRPr="008E1CAD" w14:paraId="0514F14F"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6FD4B94C"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VPd</w:t>
            </w:r>
          </w:p>
        </w:tc>
        <w:tc>
          <w:tcPr>
            <w:tcW w:w="4464" w:type="dxa"/>
            <w:tcBorders>
              <w:top w:val="nil"/>
              <w:left w:val="nil"/>
              <w:bottom w:val="nil"/>
              <w:right w:val="nil"/>
            </w:tcBorders>
            <w:tcMar>
              <w:top w:w="55" w:type="dxa"/>
              <w:left w:w="70" w:type="dxa"/>
              <w:bottom w:w="55" w:type="dxa"/>
              <w:right w:w="70" w:type="dxa"/>
            </w:tcMar>
            <w:vAlign w:val="center"/>
          </w:tcPr>
          <w:p w14:paraId="4ED5907E"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8, 15, and 22; pomalidomide: 4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72152396"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30032E53" w14:textId="4D6EB0E6"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Wang 2023</w:t>
            </w:r>
            <w:r w:rsidR="00791E18">
              <w:rPr>
                <w:rFonts w:ascii="Times New Roman" w:eastAsia="Times New Roman" w:hAnsi="Times New Roman" w:cs="Times New Roman" w:hint="eastAsia"/>
                <w:sz w:val="18"/>
              </w:rPr>
              <w:t>a</w:t>
            </w:r>
          </w:p>
        </w:tc>
      </w:tr>
      <w:tr w:rsidR="008E1CAD" w:rsidRPr="008E1CAD" w14:paraId="0C24417F"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0F7A1E4C"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VCd</w:t>
            </w:r>
          </w:p>
        </w:tc>
        <w:tc>
          <w:tcPr>
            <w:tcW w:w="4464" w:type="dxa"/>
            <w:tcBorders>
              <w:top w:val="nil"/>
              <w:left w:val="nil"/>
              <w:bottom w:val="nil"/>
              <w:right w:val="nil"/>
            </w:tcBorders>
            <w:tcMar>
              <w:top w:w="55" w:type="dxa"/>
              <w:left w:w="70" w:type="dxa"/>
              <w:bottom w:w="55" w:type="dxa"/>
              <w:right w:w="70" w:type="dxa"/>
            </w:tcMar>
            <w:vAlign w:val="center"/>
          </w:tcPr>
          <w:p w14:paraId="5AE8FEBB"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Bortezomib: 1.3 mg/m² intravenously on days 1, 4, 8, and 11; cyclophosphamide: 750 mg/m² intravenously on days 1, 4, 8, and 11; dexamethasone: 20-40 mg orally on days 1, 4, 8, and 11.</w:t>
            </w:r>
          </w:p>
        </w:tc>
        <w:tc>
          <w:tcPr>
            <w:tcW w:w="1267" w:type="dxa"/>
            <w:tcBorders>
              <w:top w:val="nil"/>
              <w:left w:val="nil"/>
              <w:bottom w:val="nil"/>
              <w:right w:val="nil"/>
            </w:tcBorders>
            <w:tcMar>
              <w:top w:w="55" w:type="dxa"/>
              <w:left w:w="70" w:type="dxa"/>
              <w:bottom w:w="55" w:type="dxa"/>
              <w:right w:w="70" w:type="dxa"/>
            </w:tcMar>
            <w:vAlign w:val="center"/>
          </w:tcPr>
          <w:p w14:paraId="378143D2"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75139ABD"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Peng 2022</w:t>
            </w:r>
          </w:p>
        </w:tc>
      </w:tr>
      <w:tr w:rsidR="008E1CAD" w:rsidRPr="008E1CAD" w14:paraId="7C02CD6B"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65F149ED"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lastRenderedPageBreak/>
              <w:t>Pd</w:t>
            </w:r>
          </w:p>
        </w:tc>
        <w:tc>
          <w:tcPr>
            <w:tcW w:w="4464" w:type="dxa"/>
            <w:tcBorders>
              <w:top w:val="nil"/>
              <w:left w:val="nil"/>
              <w:bottom w:val="nil"/>
              <w:right w:val="nil"/>
            </w:tcBorders>
            <w:tcMar>
              <w:top w:w="55" w:type="dxa"/>
              <w:left w:w="70" w:type="dxa"/>
              <w:bottom w:w="55" w:type="dxa"/>
              <w:right w:w="70" w:type="dxa"/>
            </w:tcMar>
            <w:vAlign w:val="center"/>
          </w:tcPr>
          <w:p w14:paraId="74ADEA0D"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4 mg orally once daily on days 1-21; dexamethasone: 40 mg once weekly.</w:t>
            </w:r>
          </w:p>
        </w:tc>
        <w:tc>
          <w:tcPr>
            <w:tcW w:w="1267" w:type="dxa"/>
            <w:tcBorders>
              <w:top w:val="nil"/>
              <w:left w:val="nil"/>
              <w:bottom w:val="nil"/>
              <w:right w:val="nil"/>
            </w:tcBorders>
            <w:tcMar>
              <w:top w:w="55" w:type="dxa"/>
              <w:left w:w="70" w:type="dxa"/>
              <w:bottom w:w="55" w:type="dxa"/>
              <w:right w:w="70" w:type="dxa"/>
            </w:tcMar>
            <w:vAlign w:val="center"/>
          </w:tcPr>
          <w:p w14:paraId="4EF8F693"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40183700"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Pomalidomide prescribing information (February 25, 2022)</w:t>
            </w:r>
          </w:p>
        </w:tc>
      </w:tr>
      <w:tr w:rsidR="008E1CAD" w:rsidRPr="008E1CAD" w14:paraId="052B5484"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128F7A95"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KRd</w:t>
            </w:r>
          </w:p>
        </w:tc>
        <w:tc>
          <w:tcPr>
            <w:tcW w:w="4464" w:type="dxa"/>
            <w:tcBorders>
              <w:top w:val="nil"/>
              <w:left w:val="nil"/>
              <w:bottom w:val="nil"/>
              <w:right w:val="nil"/>
            </w:tcBorders>
            <w:tcMar>
              <w:top w:w="55" w:type="dxa"/>
              <w:left w:w="70" w:type="dxa"/>
              <w:bottom w:w="55" w:type="dxa"/>
              <w:right w:w="70" w:type="dxa"/>
            </w:tcMar>
            <w:vAlign w:val="center"/>
          </w:tcPr>
          <w:p w14:paraId="255E7195"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27 mg/m² intravenously on days 1, 2, 8, 9, 15, and 16; lenalidomide: 25 mg orally once daily on days 1-21; dexamethasone: 40 mg on days 1, 8, 15, and 22.</w:t>
            </w:r>
          </w:p>
        </w:tc>
        <w:tc>
          <w:tcPr>
            <w:tcW w:w="1267" w:type="dxa"/>
            <w:tcBorders>
              <w:top w:val="nil"/>
              <w:left w:val="nil"/>
              <w:bottom w:val="nil"/>
              <w:right w:val="nil"/>
            </w:tcBorders>
            <w:tcMar>
              <w:top w:w="55" w:type="dxa"/>
              <w:left w:w="70" w:type="dxa"/>
              <w:bottom w:w="55" w:type="dxa"/>
              <w:right w:w="70" w:type="dxa"/>
            </w:tcMar>
            <w:vAlign w:val="center"/>
          </w:tcPr>
          <w:p w14:paraId="33383799"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0EB9B397"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Yoroidaka 2023</w:t>
            </w:r>
          </w:p>
        </w:tc>
      </w:tr>
      <w:tr w:rsidR="008E1CAD" w:rsidRPr="008E1CAD" w14:paraId="69FE3D36" w14:textId="77777777" w:rsidTr="00AA719D">
        <w:trPr>
          <w:cantSplit/>
          <w:jc w:val="center"/>
        </w:trPr>
        <w:tc>
          <w:tcPr>
            <w:tcW w:w="1008" w:type="dxa"/>
            <w:tcBorders>
              <w:top w:val="nil"/>
              <w:left w:val="nil"/>
              <w:bottom w:val="nil"/>
              <w:right w:val="nil"/>
            </w:tcBorders>
            <w:tcMar>
              <w:top w:w="55" w:type="dxa"/>
              <w:left w:w="70" w:type="dxa"/>
              <w:bottom w:w="55" w:type="dxa"/>
              <w:right w:w="70" w:type="dxa"/>
            </w:tcMar>
            <w:vAlign w:val="center"/>
          </w:tcPr>
          <w:p w14:paraId="6A560951"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Kd</w:t>
            </w:r>
          </w:p>
        </w:tc>
        <w:tc>
          <w:tcPr>
            <w:tcW w:w="4464" w:type="dxa"/>
            <w:tcBorders>
              <w:top w:val="nil"/>
              <w:left w:val="nil"/>
              <w:bottom w:val="nil"/>
              <w:right w:val="nil"/>
            </w:tcBorders>
            <w:tcMar>
              <w:top w:w="55" w:type="dxa"/>
              <w:left w:w="70" w:type="dxa"/>
              <w:bottom w:w="55" w:type="dxa"/>
              <w:right w:w="70" w:type="dxa"/>
            </w:tcMar>
            <w:vAlign w:val="center"/>
          </w:tcPr>
          <w:p w14:paraId="01B05F91"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27 mg/m² intravenously on days 1, 2, 8, 9, 15, and 16; dexamethasone: 20 mg orally or intravenously on days 1, 2, 8, 9, 15, 16, 22, and 23.</w:t>
            </w:r>
          </w:p>
        </w:tc>
        <w:tc>
          <w:tcPr>
            <w:tcW w:w="1267" w:type="dxa"/>
            <w:tcBorders>
              <w:top w:val="nil"/>
              <w:left w:val="nil"/>
              <w:bottom w:val="nil"/>
              <w:right w:val="nil"/>
            </w:tcBorders>
            <w:tcMar>
              <w:top w:w="55" w:type="dxa"/>
              <w:left w:w="70" w:type="dxa"/>
              <w:bottom w:w="55" w:type="dxa"/>
              <w:right w:w="70" w:type="dxa"/>
            </w:tcMar>
            <w:vAlign w:val="center"/>
          </w:tcPr>
          <w:p w14:paraId="664EE9C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nil"/>
              <w:right w:val="nil"/>
            </w:tcBorders>
            <w:tcMar>
              <w:top w:w="55" w:type="dxa"/>
              <w:left w:w="70" w:type="dxa"/>
              <w:bottom w:w="55" w:type="dxa"/>
              <w:right w:w="70" w:type="dxa"/>
            </w:tcMar>
            <w:vAlign w:val="center"/>
          </w:tcPr>
          <w:p w14:paraId="7C6C8383"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Carfilzomib prescribing information (July 6, 2023)</w:t>
            </w:r>
          </w:p>
        </w:tc>
      </w:tr>
      <w:tr w:rsidR="008E1CAD" w:rsidRPr="008E1CAD" w14:paraId="113B971B" w14:textId="77777777" w:rsidTr="00AA719D">
        <w:trPr>
          <w:cantSplit/>
          <w:jc w:val="center"/>
        </w:trPr>
        <w:tc>
          <w:tcPr>
            <w:tcW w:w="1008" w:type="dxa"/>
            <w:tcBorders>
              <w:top w:val="nil"/>
              <w:left w:val="nil"/>
              <w:bottom w:val="single" w:sz="12" w:space="0" w:color="000000"/>
              <w:right w:val="nil"/>
            </w:tcBorders>
            <w:tcMar>
              <w:top w:w="55" w:type="dxa"/>
              <w:left w:w="70" w:type="dxa"/>
              <w:bottom w:w="55" w:type="dxa"/>
              <w:right w:w="70" w:type="dxa"/>
            </w:tcMar>
            <w:vAlign w:val="center"/>
          </w:tcPr>
          <w:p w14:paraId="597F2DF0"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Rd</w:t>
            </w:r>
          </w:p>
        </w:tc>
        <w:tc>
          <w:tcPr>
            <w:tcW w:w="4464" w:type="dxa"/>
            <w:tcBorders>
              <w:top w:val="nil"/>
              <w:left w:val="nil"/>
              <w:bottom w:val="single" w:sz="12" w:space="0" w:color="000000"/>
              <w:right w:val="nil"/>
            </w:tcBorders>
            <w:tcMar>
              <w:top w:w="55" w:type="dxa"/>
              <w:left w:w="70" w:type="dxa"/>
              <w:bottom w:w="55" w:type="dxa"/>
              <w:right w:w="70" w:type="dxa"/>
            </w:tcMar>
            <w:vAlign w:val="center"/>
          </w:tcPr>
          <w:p w14:paraId="7F122A8C"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25 mg orally once daily on days 1-21; dexamethasone: 40 mg on days 1, 8, 15, and 22.</w:t>
            </w:r>
          </w:p>
        </w:tc>
        <w:tc>
          <w:tcPr>
            <w:tcW w:w="1267" w:type="dxa"/>
            <w:tcBorders>
              <w:top w:val="nil"/>
              <w:left w:val="nil"/>
              <w:bottom w:val="single" w:sz="12" w:space="0" w:color="000000"/>
              <w:right w:val="nil"/>
            </w:tcBorders>
            <w:tcMar>
              <w:top w:w="55" w:type="dxa"/>
              <w:left w:w="70" w:type="dxa"/>
              <w:bottom w:w="55" w:type="dxa"/>
              <w:right w:w="70" w:type="dxa"/>
            </w:tcMar>
            <w:vAlign w:val="center"/>
          </w:tcPr>
          <w:p w14:paraId="76F73F4E" w14:textId="77777777" w:rsidR="008E1CAD" w:rsidRPr="00AA719D" w:rsidRDefault="008E1CAD" w:rsidP="006F2582">
            <w:pPr>
              <w:jc w:val="center"/>
              <w:rPr>
                <w:rFonts w:ascii="Times New Roman" w:hAnsi="Times New Roman" w:cs="Times New Roman"/>
              </w:rPr>
            </w:pPr>
            <w:r w:rsidRPr="008E1CAD">
              <w:rPr>
                <w:rFonts w:ascii="Times New Roman" w:eastAsia="Times New Roman" w:hAnsi="Times New Roman" w:cs="Times New Roman"/>
                <w:sz w:val="18"/>
              </w:rPr>
              <w:t>Until progression or discontinuation</w:t>
            </w:r>
          </w:p>
        </w:tc>
        <w:tc>
          <w:tcPr>
            <w:tcW w:w="1541" w:type="dxa"/>
            <w:tcBorders>
              <w:top w:val="nil"/>
              <w:left w:val="nil"/>
              <w:bottom w:val="single" w:sz="12" w:space="0" w:color="000000"/>
              <w:right w:val="nil"/>
            </w:tcBorders>
            <w:tcMar>
              <w:top w:w="55" w:type="dxa"/>
              <w:left w:w="70" w:type="dxa"/>
              <w:bottom w:w="55" w:type="dxa"/>
              <w:right w:w="70" w:type="dxa"/>
            </w:tcMar>
            <w:vAlign w:val="center"/>
          </w:tcPr>
          <w:p w14:paraId="06449CAF" w14:textId="77777777" w:rsidR="008E1CAD" w:rsidRPr="00AA719D" w:rsidRDefault="008E1CAD" w:rsidP="006F2582">
            <w:pPr>
              <w:rPr>
                <w:rFonts w:ascii="Times New Roman" w:hAnsi="Times New Roman" w:cs="Times New Roman"/>
              </w:rPr>
            </w:pPr>
            <w:r w:rsidRPr="008E1CAD">
              <w:rPr>
                <w:rFonts w:ascii="Times New Roman" w:eastAsia="Times New Roman" w:hAnsi="Times New Roman" w:cs="Times New Roman"/>
                <w:sz w:val="18"/>
              </w:rPr>
              <w:t>Lenalidomide prescribing information (April 15, 2024)</w:t>
            </w:r>
          </w:p>
        </w:tc>
      </w:tr>
    </w:tbl>
    <w:p w14:paraId="36209CC2" w14:textId="77777777" w:rsidR="008E1CAD" w:rsidRPr="00AA719D" w:rsidRDefault="008E1CAD" w:rsidP="008E1CAD">
      <w:pPr>
        <w:spacing w:before="40"/>
        <w:rPr>
          <w:rFonts w:ascii="Times New Roman" w:hAnsi="Times New Roman" w:cs="Times New Roman"/>
        </w:rPr>
      </w:pPr>
      <w:r w:rsidRPr="008E1CAD">
        <w:rPr>
          <w:rFonts w:ascii="Times New Roman" w:eastAsia="Times New Roman" w:hAnsi="Times New Roman" w:cs="Times New Roman"/>
          <w:sz w:val="18"/>
        </w:rPr>
        <w:t>Note: All regimens were modeled in 28-day cycles. For continuous/maintenance treatment, therapy was continued until disease progression or treatment discontinuation. Daratumumab was administered at 16 mg/kg intravenously in the base case; the 1,800-mg subcutaneous formulation was evaluated in scenario analysis. Dosages expressed per square meter were converted to patient-level doses using the body-surface-area input applied in the model; vial and capsule strengths used for costing are not shown.</w:t>
      </w:r>
    </w:p>
    <w:p w14:paraId="1C2A8FED" w14:textId="77777777" w:rsidR="008E1CAD" w:rsidRPr="00AA719D" w:rsidRDefault="008E1CAD" w:rsidP="008E1CAD">
      <w:pPr>
        <w:spacing w:before="120"/>
        <w:rPr>
          <w:rFonts w:ascii="Times New Roman" w:hAnsi="Times New Roman" w:cs="Times New Roman"/>
        </w:rPr>
      </w:pPr>
      <w:r w:rsidRPr="008E1CAD">
        <w:rPr>
          <w:rFonts w:ascii="Times New Roman" w:eastAsia="Times New Roman" w:hAnsi="Times New Roman" w:cs="Times New Roman"/>
          <w:sz w:val="18"/>
        </w:rPr>
        <w:t>Dara mono = daratumumab monotherapy; Dd = daratumumab plus dexamethasone; DPd = daratumumab, pomalidomide, and dexamethasone; DRd = daratumumab, lenalidomide, and dexamethasone; IRd = ixazomib, lenalidomide, and dexamethasone; Kd = carfilzomib plus dexamethasone; KRd = carfilzomib, lenalidomide, and dexamethasone; Pd = pomalidomide plus dexamethasone; Rd = lenalidomide plus dexamethasone; VAd = bortezomib, doxorubicin, and dexamethasone; VCd = bortezomib, cyclophosphamide, and dexamethasone; Vd = bortezomib plus dexamethasone; VPd = bortezomib, pomalidomide, and dexamethasone; VRd = bortezomib, lenalidomide, and dexamethasone; VTd = bortezomib, thalidomide, and dexamethasone.</w:t>
      </w:r>
    </w:p>
    <w:p w14:paraId="644FCD71" w14:textId="77777777" w:rsidR="008E1CAD" w:rsidRDefault="008E1CAD">
      <w:pPr>
        <w:spacing w:before="120" w:after="120"/>
        <w:rPr>
          <w:rFonts w:ascii="Times New Roman" w:eastAsia="Times New Roman" w:hAnsi="Times New Roman" w:cs="Times New Roman"/>
          <w:b/>
          <w:i/>
          <w:sz w:val="18"/>
        </w:rPr>
      </w:pPr>
    </w:p>
    <w:p w14:paraId="7260489E" w14:textId="69748DDC" w:rsidR="007B4B54" w:rsidRPr="008E1CAD" w:rsidRDefault="007B4B54" w:rsidP="007B4B54">
      <w:pPr>
        <w:pStyle w:val="21"/>
        <w:rPr>
          <w:rFonts w:cs="Times New Roman"/>
        </w:rPr>
      </w:pPr>
      <w:r w:rsidRPr="008E1CAD">
        <w:rPr>
          <w:rFonts w:cs="Times New Roman"/>
        </w:rPr>
        <w:t>1.</w:t>
      </w:r>
      <w:r>
        <w:rPr>
          <w:rFonts w:cs="Times New Roman" w:hint="eastAsia"/>
        </w:rPr>
        <w:t>7</w:t>
      </w:r>
      <w:r w:rsidRPr="008E1CAD">
        <w:rPr>
          <w:rFonts w:cs="Times New Roman"/>
        </w:rPr>
        <w:t xml:space="preserve"> </w:t>
      </w:r>
      <w:r w:rsidR="00427DBD">
        <w:t>Serious adverse-event inputs</w:t>
      </w:r>
    </w:p>
    <w:p w14:paraId="67559E6C" w14:textId="77777777" w:rsidR="00635EB3" w:rsidRDefault="00635EB3" w:rsidP="00427DBD">
      <w:pPr>
        <w:spacing w:before="120" w:after="120"/>
        <w:rPr>
          <w:rFonts w:ascii="Times New Roman" w:eastAsia="Times New Roman" w:hAnsi="Times New Roman" w:cs="Times New Roman"/>
        </w:rPr>
      </w:pPr>
      <w:r w:rsidRPr="00635EB3">
        <w:rPr>
          <w:rFonts w:ascii="Times New Roman" w:eastAsia="Times New Roman" w:hAnsi="Times New Roman" w:cs="Times New Roman"/>
        </w:rPr>
        <w:t xml:space="preserve">The economic model incorporated regimen-specific SAE risks throughout the full treatment pathway, including front-line induction, continuous treatment, and subsequent-line therapy. For conciseness and to support comparison of the two continuous-treatment strategies, </w:t>
      </w:r>
      <w:r w:rsidRPr="00AA719D">
        <w:rPr>
          <w:rFonts w:ascii="Times New Roman" w:eastAsia="Times New Roman" w:hAnsi="Times New Roman" w:cs="Times New Roman"/>
          <w:i/>
          <w:iCs/>
        </w:rPr>
        <w:t>Table S4</w:t>
      </w:r>
      <w:r w:rsidRPr="00635EB3">
        <w:rPr>
          <w:rFonts w:ascii="Times New Roman" w:eastAsia="Times New Roman" w:hAnsi="Times New Roman" w:cs="Times New Roman"/>
        </w:rPr>
        <w:t xml:space="preserve"> summarizes the SAE inputs for IRd and DRd during continuous treatment. SAE inputs for the induction and subsequent-line regimens were also incorporated into the model but are not presented in this table.</w:t>
      </w:r>
    </w:p>
    <w:p w14:paraId="332EB14E" w14:textId="1F67AC9C" w:rsidR="00427DBD" w:rsidRPr="008E1CAD" w:rsidRDefault="00427DBD" w:rsidP="00427DBD">
      <w:pPr>
        <w:spacing w:before="120" w:after="120"/>
        <w:rPr>
          <w:rFonts w:ascii="Times New Roman" w:eastAsia="Times New Roman" w:hAnsi="Times New Roman" w:cs="Times New Roman"/>
          <w:bCs/>
          <w:i/>
          <w:sz w:val="18"/>
        </w:rPr>
      </w:pPr>
      <w:r w:rsidRPr="006F2582">
        <w:rPr>
          <w:rFonts w:ascii="Times New Roman" w:eastAsia="Times New Roman" w:hAnsi="Times New Roman" w:cs="Times New Roman"/>
          <w:b/>
          <w:i/>
          <w:sz w:val="18"/>
        </w:rPr>
        <w:t>Table S</w:t>
      </w:r>
      <w:r>
        <w:rPr>
          <w:rFonts w:ascii="Times New Roman" w:eastAsia="Times New Roman" w:hAnsi="Times New Roman" w:cs="Times New Roman" w:hint="eastAsia"/>
          <w:b/>
          <w:i/>
          <w:sz w:val="18"/>
        </w:rPr>
        <w:t>4</w:t>
      </w:r>
      <w:r w:rsidRPr="006F2582">
        <w:rPr>
          <w:rFonts w:ascii="Times New Roman" w:eastAsia="Times New Roman" w:hAnsi="Times New Roman" w:cs="Times New Roman"/>
          <w:b/>
          <w:i/>
          <w:sz w:val="18"/>
        </w:rPr>
        <w:t xml:space="preserve">. </w:t>
      </w:r>
      <w:r w:rsidRPr="00427DBD">
        <w:rPr>
          <w:rFonts w:ascii="Times New Roman" w:eastAsia="Times New Roman" w:hAnsi="Times New Roman" w:cs="Times New Roman"/>
          <w:bCs/>
          <w:i/>
          <w:sz w:val="18"/>
        </w:rPr>
        <w:t>Serious adverse-event inputs for IRd and DRd during continuous treatment</w:t>
      </w:r>
    </w:p>
    <w:tbl>
      <w:tblPr>
        <w:tblW w:w="5000" w:type="pct"/>
        <w:tblBorders>
          <w:top w:val="single" w:sz="4" w:space="0" w:color="auto"/>
          <w:bottom w:val="single" w:sz="4" w:space="0" w:color="auto"/>
        </w:tblBorders>
        <w:tblLook w:val="04A0" w:firstRow="1" w:lastRow="0" w:firstColumn="1" w:lastColumn="0" w:noHBand="0" w:noVBand="1"/>
      </w:tblPr>
      <w:tblGrid>
        <w:gridCol w:w="2168"/>
        <w:gridCol w:w="3033"/>
        <w:gridCol w:w="3099"/>
      </w:tblGrid>
      <w:tr w:rsidR="00427DBD" w:rsidRPr="00427DBD" w14:paraId="38BD0317" w14:textId="77777777" w:rsidTr="00AA719D">
        <w:trPr>
          <w:trHeight w:val="380"/>
          <w:tblHeader/>
        </w:trPr>
        <w:tc>
          <w:tcPr>
            <w:tcW w:w="1306" w:type="pct"/>
            <w:tcBorders>
              <w:top w:val="single" w:sz="4" w:space="0" w:color="auto"/>
              <w:bottom w:val="single" w:sz="4" w:space="0" w:color="auto"/>
            </w:tcBorders>
            <w:vAlign w:val="center"/>
            <w:hideMark/>
          </w:tcPr>
          <w:p w14:paraId="38E107AC" w14:textId="77777777" w:rsidR="00427DBD" w:rsidRPr="00AA719D" w:rsidRDefault="00427DBD">
            <w:pPr>
              <w:rPr>
                <w:rFonts w:ascii="Times New Roman" w:hAnsi="Times New Roman" w:cs="Times New Roman"/>
                <w:b/>
                <w:bCs/>
                <w:color w:val="000000"/>
                <w:sz w:val="18"/>
                <w:szCs w:val="18"/>
              </w:rPr>
            </w:pPr>
            <w:r w:rsidRPr="00AA719D">
              <w:rPr>
                <w:rFonts w:ascii="Times New Roman" w:hAnsi="Times New Roman" w:cs="Times New Roman" w:hint="eastAsia"/>
                <w:b/>
                <w:bCs/>
                <w:color w:val="000000"/>
                <w:sz w:val="18"/>
                <w:szCs w:val="18"/>
              </w:rPr>
              <w:t>SAE</w:t>
            </w:r>
          </w:p>
        </w:tc>
        <w:tc>
          <w:tcPr>
            <w:tcW w:w="1827" w:type="pct"/>
            <w:tcBorders>
              <w:top w:val="single" w:sz="4" w:space="0" w:color="auto"/>
              <w:bottom w:val="single" w:sz="4" w:space="0" w:color="auto"/>
            </w:tcBorders>
            <w:vAlign w:val="center"/>
            <w:hideMark/>
          </w:tcPr>
          <w:p w14:paraId="2BF02D59" w14:textId="77777777" w:rsidR="00427DBD" w:rsidRPr="00AA719D" w:rsidRDefault="00427DBD">
            <w:pPr>
              <w:rPr>
                <w:rFonts w:ascii="Times New Roman" w:hAnsi="Times New Roman" w:cs="Times New Roman"/>
                <w:b/>
                <w:bCs/>
                <w:color w:val="000000"/>
                <w:sz w:val="18"/>
                <w:szCs w:val="18"/>
              </w:rPr>
            </w:pPr>
            <w:r w:rsidRPr="00AA719D">
              <w:rPr>
                <w:rFonts w:ascii="Times New Roman" w:hAnsi="Times New Roman" w:cs="Times New Roman" w:hint="eastAsia"/>
                <w:b/>
                <w:bCs/>
                <w:color w:val="000000"/>
                <w:sz w:val="18"/>
                <w:szCs w:val="18"/>
              </w:rPr>
              <w:t>IRd monthly probability (95% CI)</w:t>
            </w:r>
          </w:p>
        </w:tc>
        <w:tc>
          <w:tcPr>
            <w:tcW w:w="1867" w:type="pct"/>
            <w:tcBorders>
              <w:top w:val="single" w:sz="4" w:space="0" w:color="auto"/>
              <w:bottom w:val="single" w:sz="4" w:space="0" w:color="auto"/>
            </w:tcBorders>
            <w:vAlign w:val="center"/>
            <w:hideMark/>
          </w:tcPr>
          <w:p w14:paraId="38087D55" w14:textId="77777777" w:rsidR="00427DBD" w:rsidRPr="00AA719D" w:rsidRDefault="00427DBD">
            <w:pPr>
              <w:rPr>
                <w:rFonts w:ascii="Times New Roman" w:hAnsi="Times New Roman" w:cs="Times New Roman"/>
                <w:b/>
                <w:bCs/>
                <w:color w:val="000000"/>
                <w:sz w:val="18"/>
                <w:szCs w:val="18"/>
              </w:rPr>
            </w:pPr>
            <w:r w:rsidRPr="00AA719D">
              <w:rPr>
                <w:rFonts w:ascii="Times New Roman" w:hAnsi="Times New Roman" w:cs="Times New Roman" w:hint="eastAsia"/>
                <w:b/>
                <w:bCs/>
                <w:color w:val="000000"/>
                <w:sz w:val="18"/>
                <w:szCs w:val="18"/>
              </w:rPr>
              <w:t>DRd monthly probability (95% CI)</w:t>
            </w:r>
          </w:p>
        </w:tc>
      </w:tr>
      <w:tr w:rsidR="00427DBD" w:rsidRPr="00427DBD" w14:paraId="3AC9F786" w14:textId="77777777" w:rsidTr="00AA719D">
        <w:trPr>
          <w:trHeight w:val="1140"/>
        </w:trPr>
        <w:tc>
          <w:tcPr>
            <w:tcW w:w="1306" w:type="pct"/>
            <w:tcBorders>
              <w:top w:val="single" w:sz="4" w:space="0" w:color="auto"/>
            </w:tcBorders>
            <w:vAlign w:val="center"/>
            <w:hideMark/>
          </w:tcPr>
          <w:p w14:paraId="462C61B2"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Leukopenia</w:t>
            </w:r>
          </w:p>
        </w:tc>
        <w:tc>
          <w:tcPr>
            <w:tcW w:w="1827" w:type="pct"/>
            <w:tcBorders>
              <w:top w:val="single" w:sz="4" w:space="0" w:color="auto"/>
            </w:tcBorders>
            <w:vAlign w:val="center"/>
            <w:hideMark/>
          </w:tcPr>
          <w:p w14:paraId="2FACC96C"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0.006 (0.002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0.022) [Horigome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Huo 2023</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p>
        </w:tc>
        <w:tc>
          <w:tcPr>
            <w:tcW w:w="1867" w:type="pct"/>
            <w:tcBorders>
              <w:top w:val="single" w:sz="4" w:space="0" w:color="auto"/>
            </w:tcBorders>
            <w:vAlign w:val="center"/>
            <w:hideMark/>
          </w:tcPr>
          <w:p w14:paraId="12B81352" w14:textId="680E9AA2"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0.051 (0.018</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0.133) [Belotti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Han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Iriuchishima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Jia</w:t>
            </w:r>
            <w:r w:rsidRPr="00AA719D">
              <w:rPr>
                <w:rFonts w:ascii="Times New Roman" w:hAnsi="Times New Roman" w:cs="Times New Roman" w:hint="eastAsia"/>
                <w:color w:val="000000"/>
                <w:sz w:val="18"/>
                <w:szCs w:val="18"/>
              </w:rPr>
              <w:t xml:space="preserve"> 2020</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Yu</w:t>
            </w:r>
            <w:r w:rsidRPr="00AA719D">
              <w:rPr>
                <w:rFonts w:ascii="Times New Roman" w:hAnsi="Times New Roman" w:cs="Times New Roman" w:hint="eastAsia"/>
                <w:color w:val="000000"/>
                <w:sz w:val="18"/>
                <w:szCs w:val="18"/>
              </w:rPr>
              <w:t xml:space="preserve">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Zhao</w:t>
            </w:r>
            <w:r w:rsidRPr="00AA719D">
              <w:rPr>
                <w:rFonts w:ascii="Times New Roman" w:hAnsi="Times New Roman" w:cs="Times New Roman" w:hint="eastAsia"/>
                <w:color w:val="000000"/>
                <w:sz w:val="18"/>
                <w:szCs w:val="18"/>
              </w:rPr>
              <w:t xml:space="preserve"> 2022]</w:t>
            </w:r>
          </w:p>
        </w:tc>
      </w:tr>
      <w:tr w:rsidR="00427DBD" w:rsidRPr="00427DBD" w14:paraId="0BFCFBCA" w14:textId="77777777" w:rsidTr="00AA719D">
        <w:trPr>
          <w:trHeight w:val="1140"/>
        </w:trPr>
        <w:tc>
          <w:tcPr>
            <w:tcW w:w="1306" w:type="pct"/>
            <w:vAlign w:val="center"/>
            <w:hideMark/>
          </w:tcPr>
          <w:p w14:paraId="71299523"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Thrombocytopenia</w:t>
            </w:r>
          </w:p>
        </w:tc>
        <w:tc>
          <w:tcPr>
            <w:tcW w:w="1827" w:type="pct"/>
            <w:vAlign w:val="center"/>
            <w:hideMark/>
          </w:tcPr>
          <w:p w14:paraId="634B482A" w14:textId="1CBB7D28"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0.016 (0.004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0.056) [Horigome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Kakimoto 2022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r w:rsidRPr="00AA719D">
              <w:rPr>
                <w:rFonts w:ascii="Times New Roman" w:hAnsi="Times New Roman" w:cs="Times New Roman" w:hint="eastAsia"/>
                <w:color w:val="000000"/>
                <w:sz w:val="18"/>
                <w:szCs w:val="18"/>
              </w:rPr>
              <w:t>，</w:t>
            </w:r>
            <w:r w:rsidR="00791E18" w:rsidRPr="00791E18">
              <w:rPr>
                <w:rFonts w:ascii="Times New Roman" w:hAnsi="Times New Roman" w:cs="Times New Roman"/>
                <w:color w:val="000000"/>
                <w:sz w:val="18"/>
                <w:szCs w:val="18"/>
              </w:rPr>
              <w:t>Yang 2021b</w:t>
            </w:r>
            <w:r w:rsidRPr="00AA719D">
              <w:rPr>
                <w:rFonts w:ascii="Times New Roman" w:hAnsi="Times New Roman" w:cs="Times New Roman" w:hint="eastAsia"/>
                <w:color w:val="000000"/>
                <w:sz w:val="18"/>
                <w:szCs w:val="18"/>
              </w:rPr>
              <w:t>]</w:t>
            </w:r>
          </w:p>
        </w:tc>
        <w:tc>
          <w:tcPr>
            <w:tcW w:w="1867" w:type="pct"/>
            <w:vAlign w:val="center"/>
            <w:hideMark/>
          </w:tcPr>
          <w:p w14:paraId="5A1C5530" w14:textId="1E3EF69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0.041 (0.014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0.116) [Han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Iriuchishima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Jia</w:t>
            </w:r>
            <w:r w:rsidRPr="00AA719D">
              <w:rPr>
                <w:rFonts w:ascii="Times New Roman" w:hAnsi="Times New Roman" w:cs="Times New Roman" w:hint="eastAsia"/>
                <w:color w:val="000000"/>
                <w:sz w:val="18"/>
                <w:szCs w:val="18"/>
              </w:rPr>
              <w:t xml:space="preserve"> 2020</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Yu</w:t>
            </w:r>
            <w:r w:rsidRPr="00AA719D">
              <w:rPr>
                <w:rFonts w:ascii="Times New Roman" w:hAnsi="Times New Roman" w:cs="Times New Roman" w:hint="eastAsia"/>
                <w:color w:val="000000"/>
                <w:sz w:val="18"/>
                <w:szCs w:val="18"/>
              </w:rPr>
              <w:t xml:space="preserve">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Zhao</w:t>
            </w:r>
            <w:r w:rsidRPr="00AA719D">
              <w:rPr>
                <w:rFonts w:ascii="Times New Roman" w:hAnsi="Times New Roman" w:cs="Times New Roman" w:hint="eastAsia"/>
                <w:color w:val="000000"/>
                <w:sz w:val="18"/>
                <w:szCs w:val="18"/>
              </w:rPr>
              <w:t xml:space="preserve"> 2022]</w:t>
            </w:r>
          </w:p>
        </w:tc>
      </w:tr>
      <w:tr w:rsidR="00427DBD" w:rsidRPr="00427DBD" w14:paraId="5D50020C" w14:textId="77777777" w:rsidTr="00AA719D">
        <w:trPr>
          <w:trHeight w:val="1140"/>
        </w:trPr>
        <w:tc>
          <w:tcPr>
            <w:tcW w:w="1306" w:type="pct"/>
            <w:vAlign w:val="center"/>
            <w:hideMark/>
          </w:tcPr>
          <w:p w14:paraId="035436B3"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lastRenderedPageBreak/>
              <w:t>Anemia</w:t>
            </w:r>
          </w:p>
        </w:tc>
        <w:tc>
          <w:tcPr>
            <w:tcW w:w="1827" w:type="pct"/>
            <w:vAlign w:val="center"/>
            <w:hideMark/>
          </w:tcPr>
          <w:p w14:paraId="50C31AFD"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0.003 (0.000</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0.019) [Horigome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Huo 2023</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p>
        </w:tc>
        <w:tc>
          <w:tcPr>
            <w:tcW w:w="1867" w:type="pct"/>
            <w:vAlign w:val="center"/>
            <w:hideMark/>
          </w:tcPr>
          <w:p w14:paraId="67EF2AF6" w14:textId="21E62BF1"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0.027 (0.004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0.145) [Han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Iriuchishima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Yu</w:t>
            </w:r>
            <w:r w:rsidRPr="00AA719D">
              <w:rPr>
                <w:rFonts w:ascii="Times New Roman" w:hAnsi="Times New Roman" w:cs="Times New Roman" w:hint="eastAsia"/>
                <w:color w:val="000000"/>
                <w:sz w:val="18"/>
                <w:szCs w:val="18"/>
              </w:rPr>
              <w:t xml:space="preserve">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Zhao</w:t>
            </w:r>
            <w:r w:rsidRPr="00AA719D">
              <w:rPr>
                <w:rFonts w:ascii="Times New Roman" w:hAnsi="Times New Roman" w:cs="Times New Roman" w:hint="eastAsia"/>
                <w:color w:val="000000"/>
                <w:sz w:val="18"/>
                <w:szCs w:val="18"/>
              </w:rPr>
              <w:t xml:space="preserve"> 2022]</w:t>
            </w:r>
          </w:p>
        </w:tc>
      </w:tr>
      <w:tr w:rsidR="00427DBD" w:rsidRPr="00427DBD" w14:paraId="43265BA9" w14:textId="77777777" w:rsidTr="00AA719D">
        <w:trPr>
          <w:trHeight w:val="380"/>
        </w:trPr>
        <w:tc>
          <w:tcPr>
            <w:tcW w:w="1306" w:type="pct"/>
            <w:vAlign w:val="center"/>
            <w:hideMark/>
          </w:tcPr>
          <w:p w14:paraId="616B68AA"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Dyspnea</w:t>
            </w:r>
          </w:p>
        </w:tc>
        <w:tc>
          <w:tcPr>
            <w:tcW w:w="1827" w:type="pct"/>
            <w:vAlign w:val="center"/>
            <w:hideMark/>
          </w:tcPr>
          <w:p w14:paraId="709B2795"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0.001 (0.000</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0.935) [Lee 2023a]</w:t>
            </w:r>
          </w:p>
        </w:tc>
        <w:tc>
          <w:tcPr>
            <w:tcW w:w="1867" w:type="pct"/>
            <w:vAlign w:val="center"/>
            <w:hideMark/>
          </w:tcPr>
          <w:p w14:paraId="0B4A7991"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NR</w:t>
            </w:r>
          </w:p>
        </w:tc>
      </w:tr>
      <w:tr w:rsidR="00427DBD" w:rsidRPr="00427DBD" w14:paraId="6E1BD1A3" w14:textId="77777777" w:rsidTr="00AA719D">
        <w:trPr>
          <w:trHeight w:val="1140"/>
        </w:trPr>
        <w:tc>
          <w:tcPr>
            <w:tcW w:w="1306" w:type="pct"/>
            <w:vAlign w:val="center"/>
            <w:hideMark/>
          </w:tcPr>
          <w:p w14:paraId="31972DC6"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Infection</w:t>
            </w:r>
          </w:p>
        </w:tc>
        <w:tc>
          <w:tcPr>
            <w:tcW w:w="1827" w:type="pct"/>
            <w:vAlign w:val="center"/>
            <w:hideMark/>
          </w:tcPr>
          <w:p w14:paraId="0FC3D46F" w14:textId="601430BE"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0.007 (0.002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0.023) [Horigome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Kakimoto 2022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Rifkin 2023</w:t>
            </w:r>
            <w:r w:rsidRPr="00AA719D">
              <w:rPr>
                <w:rFonts w:ascii="Times New Roman" w:hAnsi="Times New Roman" w:cs="Times New Roman" w:hint="eastAsia"/>
                <w:color w:val="000000"/>
                <w:sz w:val="18"/>
                <w:szCs w:val="18"/>
              </w:rPr>
              <w:t>，</w:t>
            </w:r>
            <w:r w:rsidR="00791E18" w:rsidRPr="00791E18">
              <w:rPr>
                <w:rFonts w:ascii="Times New Roman" w:hAnsi="Times New Roman" w:cs="Times New Roman"/>
                <w:color w:val="000000"/>
                <w:sz w:val="18"/>
                <w:szCs w:val="18"/>
              </w:rPr>
              <w:t>Yang 2021b</w:t>
            </w:r>
            <w:r w:rsidRPr="00AA719D">
              <w:rPr>
                <w:rFonts w:ascii="Times New Roman" w:hAnsi="Times New Roman" w:cs="Times New Roman" w:hint="eastAsia"/>
                <w:color w:val="000000"/>
                <w:sz w:val="18"/>
                <w:szCs w:val="18"/>
              </w:rPr>
              <w:t>]</w:t>
            </w:r>
          </w:p>
        </w:tc>
        <w:tc>
          <w:tcPr>
            <w:tcW w:w="1867" w:type="pct"/>
            <w:vAlign w:val="center"/>
            <w:hideMark/>
          </w:tcPr>
          <w:p w14:paraId="66B94F15" w14:textId="4EB4DFB8"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0.009 (0.003</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0.027) [Belotti 2024</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Wang 2023</w:t>
            </w:r>
            <w:r w:rsidR="00791E18">
              <w:rPr>
                <w:rFonts w:ascii="Times New Roman" w:hAnsi="Times New Roman" w:cs="Times New Roman" w:hint="eastAsia"/>
                <w:color w:val="000000"/>
                <w:sz w:val="18"/>
                <w:szCs w:val="18"/>
              </w:rPr>
              <w:t>b</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Zhao</w:t>
            </w:r>
            <w:r w:rsidRPr="00AA719D">
              <w:rPr>
                <w:rFonts w:ascii="Times New Roman" w:hAnsi="Times New Roman" w:cs="Times New Roman" w:hint="eastAsia"/>
                <w:color w:val="000000"/>
                <w:sz w:val="18"/>
                <w:szCs w:val="18"/>
              </w:rPr>
              <w:t xml:space="preserve"> 2022]</w:t>
            </w:r>
          </w:p>
        </w:tc>
      </w:tr>
      <w:tr w:rsidR="00427DBD" w:rsidRPr="00427DBD" w14:paraId="16AA181A" w14:textId="77777777" w:rsidTr="00AA719D">
        <w:trPr>
          <w:trHeight w:val="1140"/>
        </w:trPr>
        <w:tc>
          <w:tcPr>
            <w:tcW w:w="1306" w:type="pct"/>
            <w:vAlign w:val="center"/>
            <w:hideMark/>
          </w:tcPr>
          <w:p w14:paraId="3C464177"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Neurotoxicity</w:t>
            </w:r>
          </w:p>
        </w:tc>
        <w:tc>
          <w:tcPr>
            <w:tcW w:w="1827" w:type="pct"/>
            <w:vAlign w:val="center"/>
            <w:hideMark/>
          </w:tcPr>
          <w:p w14:paraId="6E4A57C1" w14:textId="618B5FBC"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0.002 (0.001</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0.008) [Huo 2023</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Kakimoto 2022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Rifkin 2023</w:t>
            </w:r>
            <w:r w:rsidRPr="00AA719D">
              <w:rPr>
                <w:rFonts w:ascii="Times New Roman" w:hAnsi="Times New Roman" w:cs="Times New Roman" w:hint="eastAsia"/>
                <w:color w:val="000000"/>
                <w:sz w:val="18"/>
                <w:szCs w:val="18"/>
              </w:rPr>
              <w:t>，</w:t>
            </w:r>
            <w:r w:rsidR="00791E18" w:rsidRPr="00791E18">
              <w:rPr>
                <w:rFonts w:ascii="Times New Roman" w:hAnsi="Times New Roman" w:cs="Times New Roman"/>
                <w:color w:val="000000"/>
                <w:sz w:val="18"/>
                <w:szCs w:val="18"/>
              </w:rPr>
              <w:t>Yang 2021b</w:t>
            </w:r>
            <w:r w:rsidRPr="00AA719D">
              <w:rPr>
                <w:rFonts w:ascii="Times New Roman" w:hAnsi="Times New Roman" w:cs="Times New Roman" w:hint="eastAsia"/>
                <w:color w:val="000000"/>
                <w:sz w:val="18"/>
                <w:szCs w:val="18"/>
              </w:rPr>
              <w:t>]</w:t>
            </w:r>
          </w:p>
        </w:tc>
        <w:tc>
          <w:tcPr>
            <w:tcW w:w="1867" w:type="pct"/>
            <w:vAlign w:val="center"/>
            <w:hideMark/>
          </w:tcPr>
          <w:p w14:paraId="35158C09" w14:textId="7BC2B57B"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0.020 (0.006</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0.068) [Han 2024</w:t>
            </w:r>
            <w:r w:rsidRPr="00AA719D">
              <w:rPr>
                <w:rFonts w:ascii="Times New Roman" w:hAnsi="Times New Roman" w:cs="Times New Roman" w:hint="eastAsia"/>
                <w:color w:val="000000"/>
                <w:sz w:val="18"/>
                <w:szCs w:val="18"/>
              </w:rPr>
              <w:t>，</w:t>
            </w:r>
            <w:r w:rsidR="002F132A">
              <w:rPr>
                <w:rFonts w:ascii="Times New Roman" w:hAnsi="Times New Roman" w:cs="Times New Roman" w:hint="eastAsia"/>
                <w:color w:val="000000"/>
                <w:sz w:val="18"/>
                <w:szCs w:val="18"/>
              </w:rPr>
              <w:t>Zhao</w:t>
            </w:r>
            <w:r w:rsidRPr="00AA719D">
              <w:rPr>
                <w:rFonts w:ascii="Times New Roman" w:hAnsi="Times New Roman" w:cs="Times New Roman" w:hint="eastAsia"/>
                <w:color w:val="000000"/>
                <w:sz w:val="18"/>
                <w:szCs w:val="18"/>
              </w:rPr>
              <w:t xml:space="preserve"> 2022]</w:t>
            </w:r>
          </w:p>
        </w:tc>
      </w:tr>
      <w:tr w:rsidR="00427DBD" w:rsidRPr="00427DBD" w14:paraId="3A23DCD6" w14:textId="77777777" w:rsidTr="00AA719D">
        <w:trPr>
          <w:trHeight w:val="380"/>
        </w:trPr>
        <w:tc>
          <w:tcPr>
            <w:tcW w:w="1306" w:type="pct"/>
            <w:vAlign w:val="center"/>
            <w:hideMark/>
          </w:tcPr>
          <w:p w14:paraId="166B6754"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Pneumonia</w:t>
            </w:r>
          </w:p>
        </w:tc>
        <w:tc>
          <w:tcPr>
            <w:tcW w:w="1827" w:type="pct"/>
            <w:vAlign w:val="center"/>
            <w:hideMark/>
          </w:tcPr>
          <w:p w14:paraId="3167B8BD" w14:textId="1910B0DD"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0.014 (0.002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0.090) [</w:t>
            </w:r>
            <w:r w:rsidR="00791E18" w:rsidRPr="00791E18">
              <w:rPr>
                <w:rFonts w:ascii="Times New Roman" w:hAnsi="Times New Roman" w:cs="Times New Roman"/>
                <w:color w:val="000000"/>
                <w:sz w:val="18"/>
                <w:szCs w:val="18"/>
              </w:rPr>
              <w:t>Yang 2021b</w:t>
            </w:r>
            <w:r w:rsidRPr="00AA719D">
              <w:rPr>
                <w:rFonts w:ascii="Times New Roman" w:hAnsi="Times New Roman" w:cs="Times New Roman" w:hint="eastAsia"/>
                <w:color w:val="000000"/>
                <w:sz w:val="18"/>
                <w:szCs w:val="18"/>
              </w:rPr>
              <w:t>]</w:t>
            </w:r>
          </w:p>
        </w:tc>
        <w:tc>
          <w:tcPr>
            <w:tcW w:w="1867" w:type="pct"/>
            <w:vAlign w:val="center"/>
            <w:hideMark/>
          </w:tcPr>
          <w:p w14:paraId="7326FF7A"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0.005 (0.000</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0.738) [Iriuchishima 2024]</w:t>
            </w:r>
          </w:p>
        </w:tc>
      </w:tr>
      <w:tr w:rsidR="00427DBD" w:rsidRPr="00427DBD" w14:paraId="3F51ECFA" w14:textId="77777777" w:rsidTr="00AA719D">
        <w:trPr>
          <w:trHeight w:val="760"/>
        </w:trPr>
        <w:tc>
          <w:tcPr>
            <w:tcW w:w="1306" w:type="pct"/>
            <w:vAlign w:val="center"/>
            <w:hideMark/>
          </w:tcPr>
          <w:p w14:paraId="0CDBDEC7"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Decreased appetite</w:t>
            </w:r>
          </w:p>
        </w:tc>
        <w:tc>
          <w:tcPr>
            <w:tcW w:w="1827" w:type="pct"/>
            <w:vAlign w:val="center"/>
            <w:hideMark/>
          </w:tcPr>
          <w:p w14:paraId="69FE3462"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0.016 (0.009</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0.028) [Kakimoto 2022</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Lee 2023a]</w:t>
            </w:r>
          </w:p>
        </w:tc>
        <w:tc>
          <w:tcPr>
            <w:tcW w:w="1867" w:type="pct"/>
            <w:vAlign w:val="center"/>
            <w:hideMark/>
          </w:tcPr>
          <w:p w14:paraId="582C875D"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NR</w:t>
            </w:r>
          </w:p>
        </w:tc>
      </w:tr>
      <w:tr w:rsidR="00427DBD" w:rsidRPr="00427DBD" w14:paraId="0CE0B040" w14:textId="77777777" w:rsidTr="00AA719D">
        <w:trPr>
          <w:trHeight w:val="760"/>
        </w:trPr>
        <w:tc>
          <w:tcPr>
            <w:tcW w:w="1306" w:type="pct"/>
            <w:vAlign w:val="center"/>
            <w:hideMark/>
          </w:tcPr>
          <w:p w14:paraId="44FD05C4"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Fatigue/asthenia</w:t>
            </w:r>
          </w:p>
        </w:tc>
        <w:tc>
          <w:tcPr>
            <w:tcW w:w="1827" w:type="pct"/>
            <w:vAlign w:val="center"/>
            <w:hideMark/>
          </w:tcPr>
          <w:p w14:paraId="39D30CF7"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0.001 (0.000</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0.056) [Lee 2023a</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Rifkin 2023]</w:t>
            </w:r>
          </w:p>
        </w:tc>
        <w:tc>
          <w:tcPr>
            <w:tcW w:w="1867" w:type="pct"/>
            <w:vAlign w:val="center"/>
            <w:hideMark/>
          </w:tcPr>
          <w:p w14:paraId="70A5349F"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NR</w:t>
            </w:r>
          </w:p>
        </w:tc>
      </w:tr>
      <w:tr w:rsidR="00427DBD" w:rsidRPr="00427DBD" w14:paraId="05783959" w14:textId="77777777" w:rsidTr="00AA719D">
        <w:trPr>
          <w:trHeight w:val="380"/>
        </w:trPr>
        <w:tc>
          <w:tcPr>
            <w:tcW w:w="1306" w:type="pct"/>
            <w:vAlign w:val="center"/>
            <w:hideMark/>
          </w:tcPr>
          <w:p w14:paraId="22D63DBA"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Herpes zoster</w:t>
            </w:r>
          </w:p>
        </w:tc>
        <w:tc>
          <w:tcPr>
            <w:tcW w:w="1827" w:type="pct"/>
            <w:vAlign w:val="center"/>
            <w:hideMark/>
          </w:tcPr>
          <w:p w14:paraId="100ABE13"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0.000 (0.000</w:t>
            </w:r>
            <w:r w:rsidRPr="00AA719D">
              <w:rPr>
                <w:rFonts w:ascii="Times New Roman" w:hAnsi="Times New Roman" w:cs="Times New Roman" w:hint="eastAsia"/>
                <w:color w:val="000000"/>
                <w:sz w:val="18"/>
                <w:szCs w:val="18"/>
              </w:rPr>
              <w:t>–</w:t>
            </w:r>
            <w:r w:rsidRPr="00AA719D">
              <w:rPr>
                <w:rFonts w:ascii="Times New Roman" w:hAnsi="Times New Roman" w:cs="Times New Roman" w:hint="eastAsia"/>
                <w:color w:val="000000"/>
                <w:sz w:val="18"/>
                <w:szCs w:val="18"/>
              </w:rPr>
              <w:t>0.023) [Lee 2023a]</w:t>
            </w:r>
          </w:p>
        </w:tc>
        <w:tc>
          <w:tcPr>
            <w:tcW w:w="1867" w:type="pct"/>
            <w:vAlign w:val="center"/>
            <w:hideMark/>
          </w:tcPr>
          <w:p w14:paraId="072A868B" w14:textId="77777777" w:rsidR="00427DBD" w:rsidRPr="00AA719D" w:rsidRDefault="00427DBD">
            <w:pPr>
              <w:rPr>
                <w:rFonts w:ascii="Times New Roman" w:hAnsi="Times New Roman" w:cs="Times New Roman"/>
                <w:color w:val="000000"/>
                <w:sz w:val="18"/>
                <w:szCs w:val="18"/>
              </w:rPr>
            </w:pPr>
            <w:r w:rsidRPr="00AA719D">
              <w:rPr>
                <w:rFonts w:ascii="Times New Roman" w:hAnsi="Times New Roman" w:cs="Times New Roman" w:hint="eastAsia"/>
                <w:color w:val="000000"/>
                <w:sz w:val="18"/>
                <w:szCs w:val="18"/>
              </w:rPr>
              <w:t>NR</w:t>
            </w:r>
          </w:p>
        </w:tc>
      </w:tr>
    </w:tbl>
    <w:p w14:paraId="7E41146D" w14:textId="656A67F4" w:rsidR="00427DBD" w:rsidRPr="00AA719D" w:rsidRDefault="00427DBD" w:rsidP="00AA719D">
      <w:pPr>
        <w:spacing w:before="120" w:after="120"/>
        <w:rPr>
          <w:rFonts w:ascii="Times New Roman" w:eastAsia="Times New Roman" w:hAnsi="Times New Roman" w:cs="Times New Roman"/>
          <w:sz w:val="18"/>
        </w:rPr>
      </w:pPr>
      <w:r w:rsidRPr="00AA719D">
        <w:rPr>
          <w:rFonts w:ascii="Times New Roman" w:eastAsia="Times New Roman" w:hAnsi="Times New Roman" w:cs="Times New Roman"/>
          <w:sz w:val="18"/>
        </w:rPr>
        <w:t xml:space="preserve">CI = confidence interval; DRd = daratumumab, lenalidomide, and dexamethasone; IRd = ixazomib, lenalidomide, and dexamethasone; NR = not reported; SAE = serious adverse event. For consistency with the terminology used in the economic model, SAE inputs were derived from grade </w:t>
      </w:r>
      <w:r w:rsidRPr="00AA719D">
        <w:rPr>
          <w:rFonts w:ascii="Times New Roman" w:eastAsia="Times New Roman" w:hAnsi="Times New Roman" w:cs="Times New Roman" w:hint="eastAsia"/>
          <w:sz w:val="18"/>
        </w:rPr>
        <w:t>≥</w:t>
      </w:r>
      <w:r w:rsidRPr="00AA719D">
        <w:rPr>
          <w:rFonts w:ascii="Times New Roman" w:eastAsia="Times New Roman" w:hAnsi="Times New Roman" w:cs="Times New Roman"/>
          <w:sz w:val="18"/>
        </w:rPr>
        <w:t>3 adverse events reported in the included studies. NR indicates that the corresponding event was not reported for the regimen in the identified evidence and should not be interpreted as zero incidence.</w:t>
      </w:r>
      <w:r w:rsidR="00635EB3">
        <w:rPr>
          <w:rFonts w:ascii="Times New Roman" w:eastAsia="Times New Roman" w:hAnsi="Times New Roman" w:cs="Times New Roman" w:hint="eastAsia"/>
          <w:sz w:val="18"/>
        </w:rPr>
        <w:t xml:space="preserve"> </w:t>
      </w:r>
      <w:r w:rsidR="00635EB3" w:rsidRPr="00635EB3">
        <w:rPr>
          <w:rFonts w:ascii="Times New Roman" w:eastAsia="Times New Roman" w:hAnsi="Times New Roman" w:cs="Times New Roman"/>
          <w:sz w:val="18"/>
        </w:rPr>
        <w:t>This table presents only the SAE inputs for IRd and DRd during continuous treatment. Regimen-specific SAE inputs for front-line induction and subsequent-line therapies were also incorporated into the economic model.</w:t>
      </w:r>
    </w:p>
    <w:p w14:paraId="39B966D6" w14:textId="02478E2A" w:rsidR="00907E93" w:rsidRPr="008E1CAD" w:rsidRDefault="00000000" w:rsidP="00DB2FAD">
      <w:pPr>
        <w:pStyle w:val="1"/>
      </w:pPr>
      <w:r w:rsidRPr="008E1CAD">
        <w:t xml:space="preserve">Section 2: </w:t>
      </w:r>
      <w:r w:rsidR="006D5FB2" w:rsidRPr="008E1CAD">
        <w:t>Subsequent-line basket-approach strategy map and regimen distributions</w:t>
      </w:r>
    </w:p>
    <w:p w14:paraId="18AB0460" w14:textId="38BA18B0" w:rsidR="00907E93" w:rsidRPr="008E1CAD" w:rsidRDefault="00000000" w:rsidP="00DB2FAD">
      <w:pPr>
        <w:pStyle w:val="21"/>
        <w:rPr>
          <w:rFonts w:cs="Times New Roman"/>
        </w:rPr>
      </w:pPr>
      <w:r w:rsidRPr="008E1CAD">
        <w:rPr>
          <w:rFonts w:cs="Times New Roman"/>
        </w:rPr>
        <w:t xml:space="preserve">2.1 </w:t>
      </w:r>
      <w:r w:rsidR="00090FCB" w:rsidRPr="008E1CAD">
        <w:rPr>
          <w:rFonts w:cs="Times New Roman"/>
        </w:rPr>
        <w:t>Mathematical formulation of the basket efficacy model</w:t>
      </w:r>
    </w:p>
    <w:p w14:paraId="73D3882D" w14:textId="545306B8"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 xml:space="preserve">To capture the heterogeneous and multi-line clinical management landscape of relapsed or refractory multiple myeloma (rrMM) in China, where physicians exhaust available lines of therapy sequentially, </w:t>
      </w:r>
      <w:r w:rsidR="006D5FB2" w:rsidRPr="008E1CAD">
        <w:rPr>
          <w:rFonts w:ascii="Times New Roman" w:eastAsia="Times New Roman" w:hAnsi="Times New Roman" w:cs="Times New Roman"/>
        </w:rPr>
        <w:t>the model used a consolidated basket-approach framework</w:t>
      </w:r>
      <w:r w:rsidRPr="008E1CAD">
        <w:rPr>
          <w:rFonts w:ascii="Times New Roman" w:eastAsia="Times New Roman" w:hAnsi="Times New Roman" w:cs="Times New Roman"/>
        </w:rPr>
        <w:t xml:space="preserve"> adapted from validated National Institute for Health and Care Excellence (NICE) cost-utility models.</w:t>
      </w:r>
    </w:p>
    <w:p w14:paraId="151C141F" w14:textId="69CAF6B3"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t xml:space="preserve">The consolidated monthly disease progression risk and post-progression mortality </w:t>
      </w:r>
      <w:r w:rsidR="0016552D" w:rsidRPr="008E1CAD">
        <w:rPr>
          <w:rFonts w:ascii="Times New Roman" w:eastAsia="Times New Roman" w:hAnsi="Times New Roman" w:cs="Times New Roman"/>
        </w:rPr>
        <w:t>risk</w:t>
      </w:r>
      <w:r w:rsidRPr="008E1CAD">
        <w:rPr>
          <w:rFonts w:ascii="Times New Roman" w:eastAsia="Times New Roman" w:hAnsi="Times New Roman" w:cs="Times New Roman"/>
        </w:rPr>
        <w:t xml:space="preserve"> within the subsequent rescue phase were determined using the following non-linear sequence formula</w:t>
      </w:r>
      <w:r w:rsidR="0003659E" w:rsidRPr="008E1CAD">
        <w:rPr>
          <w:rFonts w:ascii="Times New Roman" w:eastAsia="Times New Roman" w:hAnsi="Times New Roman" w:cs="Times New Roman"/>
        </w:rPr>
        <w:t xml:space="preserve"> (van de Wetering 2022)</w:t>
      </w:r>
      <w:r w:rsidRPr="008E1CAD">
        <w:rPr>
          <w:rFonts w:ascii="Times New Roman" w:eastAsia="Times New Roman" w:hAnsi="Times New Roman" w:cs="Times New Roman"/>
        </w:rPr>
        <w:t>:</w:t>
      </w:r>
    </w:p>
    <w:p w14:paraId="713CA0C8" w14:textId="77777777" w:rsidR="00907E93" w:rsidRPr="008E1CAD" w:rsidRDefault="00000000">
      <w:pPr>
        <w:spacing w:before="240" w:after="240"/>
        <w:jc w:val="center"/>
        <w:rPr>
          <w:rFonts w:ascii="Times New Roman" w:hAnsi="Times New Roman" w:cs="Times New Roman"/>
        </w:rPr>
      </w:pPr>
      <m:oMathPara>
        <m:oMathParaPr>
          <m:jc m:val="center"/>
        </m:oMathParaPr>
        <m:oMath>
          <m:r>
            <w:rPr>
              <w:rFonts w:ascii="Cambria Math" w:hAnsi="Cambria Math" w:cs="Times New Roman"/>
            </w:rPr>
            <m:t xml:space="preserve">1 - </m:t>
          </m:r>
          <m:sSup>
            <m:sSupPr>
              <m:ctrlPr>
                <w:rPr>
                  <w:rFonts w:ascii="Cambria Math" w:hAnsi="Cambria Math" w:cs="Times New Roman"/>
                </w:rPr>
              </m:ctrlPr>
            </m:sSupPr>
            <m:e>
              <m:d>
                <m:dPr>
                  <m:begChr m:val="["/>
                  <m:endChr m:val="]"/>
                  <m:ctrlPr>
                    <w:rPr>
                      <w:rFonts w:ascii="Cambria Math" w:hAnsi="Cambria Math" w:cs="Times New Roman"/>
                    </w:rPr>
                  </m:ctrlPr>
                </m:dPr>
                <m:e>
                  <m:r>
                    <w:rPr>
                      <w:rFonts w:ascii="Cambria Math" w:hAnsi="Cambria Math" w:cs="Times New Roman"/>
                    </w:rPr>
                    <m:t xml:space="preserve">1 - </m:t>
                  </m:r>
                  <m:nary>
                    <m:naryPr>
                      <m:chr m:val="∑"/>
                      <m:limLoc m:val="undOvr"/>
                      <m:ctrlPr>
                        <w:rPr>
                          <w:rFonts w:ascii="Cambria Math" w:hAnsi="Cambria Math" w:cs="Times New Roman"/>
                        </w:rPr>
                      </m:ctrlPr>
                    </m:naryPr>
                    <m:sub>
                      <m:r>
                        <m:rPr>
                          <m:sty m:val="p"/>
                        </m:rPr>
                        <w:rPr>
                          <w:rFonts w:ascii="Cambria Math" w:hAnsi="Cambria Math" w:cs="Times New Roman"/>
                        </w:rPr>
                        <m:t>t=0</m:t>
                      </m:r>
                    </m:sub>
                    <m:sup>
                      <m:r>
                        <m:rPr>
                          <m:sty m:val="p"/>
                        </m:rPr>
                        <w:rPr>
                          <w:rFonts w:ascii="Cambria Math" w:hAnsi="Cambria Math" w:cs="Times New Roman"/>
                        </w:rPr>
                        <m:t>T</m:t>
                      </m:r>
                    </m:sup>
                    <m:e>
                      <m:d>
                        <m:dPr>
                          <m:ctrlPr>
                            <w:rPr>
                              <w:rFonts w:ascii="Cambria Math" w:hAnsi="Cambria Math" w:cs="Times New Roman"/>
                            </w:rPr>
                          </m:ctrlPr>
                        </m:dPr>
                        <m:e>
                          <m:f>
                            <m:fPr>
                              <m:type m:val="noBar"/>
                              <m:ctrlPr>
                                <w:rPr>
                                  <w:rFonts w:ascii="Cambria Math" w:hAnsi="Cambria Math" w:cs="Times New Roman"/>
                                </w:rPr>
                              </m:ctrlPr>
                            </m:fPr>
                            <m:num>
                              <m:r>
                                <m:rPr>
                                  <m:sty m:val="p"/>
                                </m:rPr>
                                <w:rPr>
                                  <w:rFonts w:ascii="Cambria Math" w:hAnsi="Cambria Math" w:cs="Times New Roman"/>
                                </w:rPr>
                                <m:t>t+b</m:t>
                              </m:r>
                            </m:num>
                            <m:den>
                              <m:r>
                                <m:rPr>
                                  <m:sty m:val="p"/>
                                </m:rPr>
                                <w:rPr>
                                  <w:rFonts w:ascii="Cambria Math" w:hAnsi="Cambria Math" w:cs="Times New Roman"/>
                                </w:rPr>
                                <m:t>t</m:t>
                              </m:r>
                            </m:den>
                          </m:f>
                        </m:e>
                      </m:d>
                      <m:sSup>
                        <m:sSupPr>
                          <m:ctrlPr>
                            <w:rPr>
                              <w:rFonts w:ascii="Cambria Math" w:hAnsi="Cambria Math" w:cs="Times New Roman"/>
                            </w:rPr>
                          </m:ctrlPr>
                        </m:sSupPr>
                        <m:e>
                          <m:r>
                            <m:rPr>
                              <m:sty m:val="bi"/>
                            </m:rPr>
                            <w:rPr>
                              <w:rFonts w:ascii="Cambria Math" w:hAnsi="Cambria Math" w:cs="Times New Roman"/>
                            </w:rPr>
                            <m:t>d</m:t>
                          </m:r>
                        </m:e>
                        <m:sup>
                          <m:r>
                            <m:rPr>
                              <m:sty m:val="p"/>
                            </m:rPr>
                            <w:rPr>
                              <w:rFonts w:ascii="Cambria Math" w:hAnsi="Cambria Math" w:cs="Times New Roman"/>
                            </w:rPr>
                            <m:t>b</m:t>
                          </m:r>
                        </m:sup>
                      </m:sSup>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1-</m:t>
                              </m:r>
                              <m:r>
                                <m:rPr>
                                  <m:sty m:val="bi"/>
                                </m:rPr>
                                <w:rPr>
                                  <w:rFonts w:ascii="Cambria Math" w:hAnsi="Cambria Math" w:cs="Times New Roman"/>
                                </w:rPr>
                                <m:t>d</m:t>
                              </m:r>
                            </m:e>
                          </m:d>
                        </m:e>
                        <m:sup>
                          <m:r>
                            <m:rPr>
                              <m:sty m:val="p"/>
                            </m:rPr>
                            <w:rPr>
                              <w:rFonts w:ascii="Cambria Math" w:hAnsi="Cambria Math" w:cs="Times New Roman"/>
                            </w:rPr>
                            <m:t>t</m:t>
                          </m:r>
                        </m:sup>
                      </m:sSup>
                    </m:e>
                  </m:nary>
                </m:e>
              </m:d>
            </m:e>
            <m:sup>
              <m:f>
                <m:fPr>
                  <m:type m:val="lin"/>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T</m:t>
                  </m:r>
                </m:den>
              </m:f>
            </m:sup>
          </m:sSup>
        </m:oMath>
      </m:oMathPara>
    </w:p>
    <w:p w14:paraId="3DF10959" w14:textId="77777777" w:rsidR="00907E93" w:rsidRPr="008E1CAD" w:rsidRDefault="00000000">
      <w:pPr>
        <w:spacing w:after="120"/>
        <w:rPr>
          <w:rFonts w:ascii="Times New Roman" w:hAnsi="Times New Roman" w:cs="Times New Roman"/>
        </w:rPr>
      </w:pPr>
      <w:r w:rsidRPr="008E1CAD">
        <w:rPr>
          <w:rFonts w:ascii="Times New Roman" w:eastAsia="Times New Roman" w:hAnsi="Times New Roman" w:cs="Times New Roman"/>
        </w:rPr>
        <w:lastRenderedPageBreak/>
        <w:t>Where:</w:t>
      </w:r>
    </w:p>
    <w:p w14:paraId="63007C5D" w14:textId="77777777"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i/>
        </w:rPr>
        <w:t>T</w:t>
      </w:r>
      <w:r w:rsidRPr="008E1CAD">
        <w:rPr>
          <w:rFonts w:ascii="Times New Roman" w:eastAsia="Times New Roman" w:hAnsi="Times New Roman" w:cs="Times New Roman"/>
        </w:rPr>
        <w:t>: Total simulation timeline horizon (set to lifetime horizon, modeled as 240 cycles/20 years).</w:t>
      </w:r>
    </w:p>
    <w:p w14:paraId="24AFDE3E" w14:textId="77777777"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i/>
        </w:rPr>
        <w:t>b</w:t>
      </w:r>
      <w:r w:rsidRPr="008E1CAD">
        <w:rPr>
          <w:rFonts w:ascii="Times New Roman" w:eastAsia="Times New Roman" w:hAnsi="Times New Roman" w:cs="Times New Roman"/>
        </w:rPr>
        <w:t>: Total number of distinct sequential rescue regimens bundled within the clinical treatment basket.</w:t>
      </w:r>
    </w:p>
    <w:p w14:paraId="09EDBDEE" w14:textId="67E91930"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i/>
        </w:rPr>
        <w:t>t</w:t>
      </w:r>
      <w:r w:rsidRPr="008E1CAD">
        <w:rPr>
          <w:rFonts w:ascii="Times New Roman" w:eastAsia="Times New Roman" w:hAnsi="Times New Roman" w:cs="Times New Roman"/>
        </w:rPr>
        <w:t xml:space="preserve">: </w:t>
      </w:r>
      <w:r w:rsidR="006D5FB2" w:rsidRPr="008E1CAD">
        <w:rPr>
          <w:rFonts w:ascii="Times New Roman" w:eastAsia="Times New Roman" w:hAnsi="Times New Roman" w:cs="Times New Roman"/>
        </w:rPr>
        <w:t>C</w:t>
      </w:r>
      <w:r w:rsidRPr="008E1CAD">
        <w:rPr>
          <w:rFonts w:ascii="Times New Roman" w:eastAsia="Times New Roman" w:hAnsi="Times New Roman" w:cs="Times New Roman"/>
        </w:rPr>
        <w:t>ycle length (expressed in months).</w:t>
      </w:r>
    </w:p>
    <w:p w14:paraId="009BF8EE" w14:textId="1B9C43BE" w:rsidR="00907E93" w:rsidRPr="008E1CAD" w:rsidRDefault="00000000">
      <w:pPr>
        <w:spacing w:before="40" w:after="60"/>
        <w:ind w:left="720" w:hanging="357"/>
        <w:rPr>
          <w:rFonts w:ascii="Times New Roman" w:hAnsi="Times New Roman" w:cs="Times New Roman"/>
        </w:rPr>
      </w:pPr>
      <w:r w:rsidRPr="008E1CAD">
        <w:rPr>
          <w:rFonts w:ascii="Times New Roman" w:eastAsia="Times New Roman" w:hAnsi="Times New Roman" w:cs="Times New Roman"/>
        </w:rPr>
        <w:t xml:space="preserve">• </w:t>
      </w:r>
      <w:r w:rsidRPr="008E1CAD">
        <w:rPr>
          <w:rFonts w:ascii="Times New Roman" w:eastAsia="Times New Roman" w:hAnsi="Times New Roman" w:cs="Times New Roman"/>
          <w:i/>
        </w:rPr>
        <w:t>d</w:t>
      </w:r>
      <w:r w:rsidRPr="008E1CAD">
        <w:rPr>
          <w:rFonts w:ascii="Times New Roman" w:eastAsia="Times New Roman" w:hAnsi="Times New Roman" w:cs="Times New Roman"/>
        </w:rPr>
        <w:t xml:space="preserve">: </w:t>
      </w:r>
      <w:r w:rsidR="006D5FB2" w:rsidRPr="008E1CAD">
        <w:rPr>
          <w:rFonts w:ascii="Times New Roman" w:eastAsia="Times New Roman" w:hAnsi="Times New Roman" w:cs="Times New Roman"/>
        </w:rPr>
        <w:t>Weighted baseline monthly risk</w:t>
      </w:r>
      <w:r w:rsidRPr="008E1CAD">
        <w:rPr>
          <w:rFonts w:ascii="Times New Roman" w:eastAsia="Times New Roman" w:hAnsi="Times New Roman" w:cs="Times New Roman"/>
        </w:rPr>
        <w:t xml:space="preserve"> (representing either the consolidated monthly progression risk or the post-progression monthly mortality risk, calculated across the underlying </w:t>
      </w:r>
      <w:r w:rsidR="00117EF6" w:rsidRPr="008E1CAD">
        <w:rPr>
          <w:rFonts w:ascii="Times New Roman" w:eastAsia="Times New Roman" w:hAnsi="Times New Roman" w:cs="Times New Roman"/>
        </w:rPr>
        <w:t>regimen distribution matrices</w:t>
      </w:r>
      <w:r w:rsidRPr="008E1CAD">
        <w:rPr>
          <w:rFonts w:ascii="Times New Roman" w:eastAsia="Times New Roman" w:hAnsi="Times New Roman" w:cs="Times New Roman"/>
        </w:rPr>
        <w:t xml:space="preserve"> outlined below).</w:t>
      </w:r>
    </w:p>
    <w:p w14:paraId="7AA96F0A" w14:textId="1EF4C524" w:rsidR="00907E93" w:rsidRPr="008E1CAD" w:rsidRDefault="00000000" w:rsidP="00DB2FAD">
      <w:pPr>
        <w:pStyle w:val="21"/>
        <w:rPr>
          <w:rFonts w:cs="Times New Roman"/>
        </w:rPr>
      </w:pPr>
      <w:r w:rsidRPr="008E1CAD">
        <w:rPr>
          <w:rFonts w:cs="Times New Roman"/>
        </w:rPr>
        <w:t>2.2 Subsequent-</w:t>
      </w:r>
      <w:r w:rsidR="00090FCB" w:rsidRPr="008E1CAD">
        <w:rPr>
          <w:rFonts w:cs="Times New Roman"/>
        </w:rPr>
        <w:t>line treatment sequencing map</w:t>
      </w:r>
    </w:p>
    <w:p w14:paraId="5115D5C2" w14:textId="77819A4F" w:rsidR="00907E93" w:rsidRDefault="00BB0AFF">
      <w:pPr>
        <w:spacing w:after="120"/>
        <w:rPr>
          <w:rFonts w:ascii="Times New Roman" w:eastAsia="Times New Roman" w:hAnsi="Times New Roman" w:cs="Times New Roman"/>
        </w:rPr>
      </w:pPr>
      <w:r w:rsidRPr="008E1CAD">
        <w:rPr>
          <w:rFonts w:ascii="Times New Roman" w:eastAsia="Times New Roman" w:hAnsi="Times New Roman" w:cs="Times New Roman"/>
        </w:rPr>
        <w:t>In the absence of patient-level longitudinal evidence describing complete treatment sequences after iCT IRd or upfront DRd, the model applied a prespecified regimen-availability rule. The same complete regimen used in the front-line setting was removed from the subsequent-line basket to avoid modeling immediate retreatment with an identical regimen after lack of response or disease progression. This rule did not exclude the entire therapeutic class. For example, after upfront DRd, DRd itself was excluded from reuse, but other daratumumab-containing regimens, including DPd, Dd, and daratumumab monotherapy, remained eligible where supported by the identified evidence. Conversely, DRd remained available as a subsequent-line option after the iCT IRd strategy. These rules represent structural assumptions required to operationalize treatment availability in the absence of directly observed comparative sequencing data and should not be interpreted as mandatory clinical pathways for individual patients.</w:t>
      </w:r>
    </w:p>
    <w:p w14:paraId="22F0CFC1" w14:textId="77777777" w:rsidR="001C4E2F" w:rsidRDefault="001C4E2F">
      <w:pPr>
        <w:spacing w:after="120"/>
        <w:rPr>
          <w:rFonts w:ascii="Times New Roman" w:eastAsia="Times New Roman" w:hAnsi="Times New Roman" w:cs="Times New Roman"/>
        </w:rPr>
      </w:pPr>
    </w:p>
    <w:p w14:paraId="011F8F62" w14:textId="77777777" w:rsidR="001C4E2F" w:rsidRPr="008E1CAD" w:rsidRDefault="001C4E2F" w:rsidP="001C4E2F">
      <w:pPr>
        <w:spacing w:after="240"/>
        <w:jc w:val="center"/>
        <w:rPr>
          <w:rFonts w:ascii="Times New Roman" w:hAnsi="Times New Roman" w:cs="Times New Roman"/>
        </w:rPr>
      </w:pPr>
      <w:r w:rsidRPr="008E1CAD">
        <w:rPr>
          <w:rFonts w:ascii="Times New Roman" w:eastAsia="Times New Roman" w:hAnsi="Times New Roman" w:cs="Times New Roman"/>
          <w:b/>
          <w:i/>
          <w:sz w:val="18"/>
        </w:rPr>
        <w:t xml:space="preserve">Figure S4. </w:t>
      </w:r>
      <w:r w:rsidRPr="008E1CAD">
        <w:rPr>
          <w:rFonts w:ascii="Times New Roman" w:eastAsia="Times New Roman" w:hAnsi="Times New Roman" w:cs="Times New Roman"/>
          <w:i/>
          <w:sz w:val="18"/>
        </w:rPr>
        <w:t>Subsequent-line basket approach treatment sequencing strategy map: iCT IRd vs. DRd pathway.</w:t>
      </w:r>
    </w:p>
    <w:p w14:paraId="4DB653E9" w14:textId="7BAA7761" w:rsidR="00907E93" w:rsidRPr="008E1CAD" w:rsidRDefault="00C72D59">
      <w:pPr>
        <w:jc w:val="center"/>
        <w:rPr>
          <w:rFonts w:ascii="Times New Roman" w:hAnsi="Times New Roman" w:cs="Times New Roman"/>
        </w:rPr>
      </w:pPr>
      <w:r w:rsidRPr="008E1CAD">
        <w:rPr>
          <w:rFonts w:ascii="Times New Roman" w:hAnsi="Times New Roman" w:cs="Times New Roman"/>
          <w:noProof/>
        </w:rPr>
        <w:drawing>
          <wp:inline distT="0" distB="0" distL="0" distR="0" wp14:anchorId="55B2B47B" wp14:editId="4F3A9252">
            <wp:extent cx="5270500" cy="2586355"/>
            <wp:effectExtent l="0" t="0" r="0" b="4445"/>
            <wp:docPr id="180347926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79263"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270500" cy="2586355"/>
                    </a:xfrm>
                    <a:prstGeom prst="rect">
                      <a:avLst/>
                    </a:prstGeom>
                  </pic:spPr>
                </pic:pic>
              </a:graphicData>
            </a:graphic>
          </wp:inline>
        </w:drawing>
      </w:r>
    </w:p>
    <w:p w14:paraId="777910DC" w14:textId="471734DA" w:rsidR="00C85F09" w:rsidRPr="008E1CAD" w:rsidRDefault="00C85F09" w:rsidP="00C85F09">
      <w:pPr>
        <w:rPr>
          <w:rFonts w:ascii="Times New Roman" w:hAnsi="Times New Roman" w:cs="Times New Roman"/>
          <w:sz w:val="18"/>
          <w:szCs w:val="18"/>
        </w:rPr>
      </w:pPr>
      <w:r w:rsidRPr="008E1CAD">
        <w:rPr>
          <w:rFonts w:ascii="Times New Roman" w:hAnsi="Times New Roman" w:cs="Times New Roman"/>
          <w:sz w:val="18"/>
          <w:szCs w:val="18"/>
        </w:rPr>
        <w:t>Abbreviations: Dd = daratumumab and dexamethasone; DRd = daratumumab, lenalidomide, and dexamethasone; iCT IRd = in-class transition to ixazomib, lenalidomide, and dexamethasone; IRd = ixazomib, lenalidomide, and dexamethasone; K-based = carfilzomib-based regimen; Pd = pomalidomide and dexamethasone; Rd = lenalidomide and dexamethasone; rrMM = relapsed/refractory multiple myeloma; VCd = bortezomib, cyclophosphamide, and dexamethasone; V</w:t>
      </w:r>
      <w:r w:rsidR="006604AB" w:rsidRPr="008E1CAD">
        <w:rPr>
          <w:rFonts w:ascii="Times New Roman" w:hAnsi="Times New Roman" w:cs="Times New Roman"/>
          <w:sz w:val="18"/>
          <w:szCs w:val="18"/>
        </w:rPr>
        <w:t>d</w:t>
      </w:r>
      <w:r w:rsidRPr="008E1CAD">
        <w:rPr>
          <w:rFonts w:ascii="Times New Roman" w:hAnsi="Times New Roman" w:cs="Times New Roman"/>
          <w:sz w:val="18"/>
          <w:szCs w:val="18"/>
        </w:rPr>
        <w:t xml:space="preserve"> = bortezomib and dexamethasone; VPd = bortezomib, pomalidomide, and dexamethasone; VRd = bortezomib, lenalidomide, and dexamethasone; VTd = bortezomib, thalidomide, and dexamethasone.</w:t>
      </w:r>
    </w:p>
    <w:p w14:paraId="1DAF74DA" w14:textId="5E79A256" w:rsidR="00907E93" w:rsidRPr="008E1CAD" w:rsidRDefault="00000000" w:rsidP="00DB2FAD">
      <w:pPr>
        <w:pStyle w:val="21"/>
        <w:rPr>
          <w:rFonts w:cs="Times New Roman"/>
        </w:rPr>
      </w:pPr>
      <w:r w:rsidRPr="008E1CAD">
        <w:rPr>
          <w:rFonts w:cs="Times New Roman"/>
        </w:rPr>
        <w:lastRenderedPageBreak/>
        <w:t xml:space="preserve">2.3 </w:t>
      </w:r>
      <w:r w:rsidR="006D5FB2" w:rsidRPr="008E1CAD">
        <w:rPr>
          <w:rFonts w:cs="Times New Roman"/>
        </w:rPr>
        <w:t>Summary of regimen-specific inputs for subsequent-line meta-analysis</w:t>
      </w:r>
    </w:p>
    <w:p w14:paraId="6F229806" w14:textId="5DD4088A" w:rsidR="00907E93" w:rsidRPr="008E1CAD" w:rsidRDefault="006D5FB2">
      <w:pPr>
        <w:spacing w:after="120"/>
        <w:rPr>
          <w:rFonts w:ascii="Times New Roman" w:hAnsi="Times New Roman" w:cs="Times New Roman"/>
        </w:rPr>
      </w:pPr>
      <w:r w:rsidRPr="008E1CAD">
        <w:rPr>
          <w:rFonts w:ascii="Times New Roman" w:eastAsia="Times New Roman" w:hAnsi="Times New Roman" w:cs="Times New Roman"/>
        </w:rPr>
        <w:t>Regimen-specific parameters pooled from East Asian RWE cohorts to inform the weighted baseline risk factor (d) are summarized below:</w:t>
      </w:r>
    </w:p>
    <w:p w14:paraId="18C21E6B" w14:textId="77777777" w:rsidR="00F95EB1" w:rsidRDefault="00F95EB1">
      <w:pPr>
        <w:spacing w:before="120" w:after="120"/>
        <w:rPr>
          <w:rFonts w:ascii="Times New Roman" w:eastAsia="Times New Roman" w:hAnsi="Times New Roman" w:cs="Times New Roman"/>
          <w:b/>
          <w:i/>
          <w:sz w:val="18"/>
        </w:rPr>
      </w:pPr>
    </w:p>
    <w:p w14:paraId="1D2F0D4D" w14:textId="0E0B050C" w:rsidR="00907E93" w:rsidRPr="008E1CAD" w:rsidRDefault="00000000">
      <w:pPr>
        <w:spacing w:before="120" w:after="120"/>
        <w:rPr>
          <w:rFonts w:ascii="Times New Roman" w:hAnsi="Times New Roman" w:cs="Times New Roman"/>
        </w:rPr>
      </w:pPr>
      <w:r w:rsidRPr="008E1CAD">
        <w:rPr>
          <w:rFonts w:ascii="Times New Roman" w:eastAsia="Times New Roman" w:hAnsi="Times New Roman" w:cs="Times New Roman"/>
          <w:b/>
          <w:i/>
          <w:sz w:val="18"/>
        </w:rPr>
        <w:t xml:space="preserve">Table </w:t>
      </w:r>
      <w:r w:rsidR="00F95EB1" w:rsidRPr="008E1CAD">
        <w:rPr>
          <w:rFonts w:ascii="Times New Roman" w:eastAsia="Times New Roman" w:hAnsi="Times New Roman" w:cs="Times New Roman"/>
          <w:b/>
          <w:i/>
          <w:sz w:val="18"/>
        </w:rPr>
        <w:t>S</w:t>
      </w:r>
      <w:r w:rsidR="00427DBD">
        <w:rPr>
          <w:rFonts w:ascii="Times New Roman" w:eastAsia="Times New Roman" w:hAnsi="Times New Roman" w:cs="Times New Roman" w:hint="eastAsia"/>
          <w:b/>
          <w:i/>
          <w:sz w:val="18"/>
        </w:rPr>
        <w:t>5</w:t>
      </w:r>
      <w:r w:rsidRPr="008E1CAD">
        <w:rPr>
          <w:rFonts w:ascii="Times New Roman" w:eastAsia="Times New Roman" w:hAnsi="Times New Roman" w:cs="Times New Roman"/>
          <w:b/>
          <w:i/>
          <w:sz w:val="18"/>
        </w:rPr>
        <w:t xml:space="preserve">. </w:t>
      </w:r>
      <w:r w:rsidR="006604AB" w:rsidRPr="008E1CAD">
        <w:rPr>
          <w:rFonts w:ascii="Times New Roman" w:eastAsia="Times New Roman" w:hAnsi="Times New Roman" w:cs="Times New Roman"/>
          <w:i/>
          <w:sz w:val="18"/>
        </w:rPr>
        <w:t>Regimen-specific inputs from East Asian real-world evidence cohorts for subsequent-line meta-analysis.</w:t>
      </w:r>
    </w:p>
    <w:tbl>
      <w:tblPr>
        <w:tblW w:w="0" w:type="auto"/>
        <w:jc w:val="cente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Look w:val="04A0" w:firstRow="1" w:lastRow="0" w:firstColumn="1" w:lastColumn="0" w:noHBand="0" w:noVBand="1"/>
      </w:tblPr>
      <w:tblGrid>
        <w:gridCol w:w="1126"/>
        <w:gridCol w:w="1029"/>
        <w:gridCol w:w="1023"/>
        <w:gridCol w:w="1023"/>
        <w:gridCol w:w="1027"/>
        <w:gridCol w:w="1019"/>
        <w:gridCol w:w="1019"/>
        <w:gridCol w:w="1034"/>
      </w:tblGrid>
      <w:tr w:rsidR="00907E93" w:rsidRPr="008E1CAD" w14:paraId="7A7B23EE" w14:textId="77777777" w:rsidTr="00AA719D">
        <w:trPr>
          <w:tblHeader/>
          <w:jc w:val="center"/>
        </w:trPr>
        <w:tc>
          <w:tcPr>
            <w:tcW w:w="1126" w:type="dxa"/>
            <w:tcBorders>
              <w:top w:val="single" w:sz="12" w:space="0" w:color="000000"/>
              <w:left w:val="none" w:sz="0" w:space="0" w:color="000000"/>
              <w:bottom w:val="single" w:sz="6" w:space="0" w:color="000000"/>
              <w:right w:val="none" w:sz="0" w:space="0" w:color="000000"/>
            </w:tcBorders>
            <w:vAlign w:val="center"/>
          </w:tcPr>
          <w:p w14:paraId="311E04D6" w14:textId="32B828D5" w:rsidR="00907E93" w:rsidRPr="008E1CAD" w:rsidRDefault="00000000" w:rsidP="00AA719D">
            <w:pPr>
              <w:spacing w:before="40" w:after="40"/>
              <w:jc w:val="both"/>
              <w:rPr>
                <w:rFonts w:ascii="Times New Roman" w:hAnsi="Times New Roman" w:cs="Times New Roman"/>
              </w:rPr>
            </w:pPr>
            <w:r w:rsidRPr="008E1CAD">
              <w:rPr>
                <w:rFonts w:ascii="Times New Roman" w:eastAsia="Times New Roman" w:hAnsi="Times New Roman" w:cs="Times New Roman"/>
                <w:b/>
                <w:sz w:val="18"/>
              </w:rPr>
              <w:t>Parameter</w:t>
            </w:r>
            <w:r w:rsidR="00090FCB" w:rsidRPr="008E1CAD">
              <w:rPr>
                <w:rFonts w:ascii="Times New Roman" w:eastAsia="Times New Roman" w:hAnsi="Times New Roman" w:cs="Times New Roman"/>
                <w:b/>
                <w:sz w:val="18"/>
              </w:rPr>
              <w:t>s</w:t>
            </w:r>
          </w:p>
        </w:tc>
        <w:tc>
          <w:tcPr>
            <w:tcW w:w="1029" w:type="dxa"/>
            <w:tcBorders>
              <w:top w:val="single" w:sz="12" w:space="0" w:color="000000"/>
              <w:left w:val="none" w:sz="0" w:space="0" w:color="000000"/>
              <w:bottom w:val="single" w:sz="6" w:space="0" w:color="000000"/>
              <w:right w:val="none" w:sz="0" w:space="0" w:color="000000"/>
            </w:tcBorders>
            <w:vAlign w:val="center"/>
          </w:tcPr>
          <w:p w14:paraId="67AC529E" w14:textId="7448ED94"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Rescue</w:t>
            </w:r>
            <w:r w:rsidR="006D5FB2"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r</w:t>
            </w:r>
            <w:r w:rsidRPr="008E1CAD">
              <w:rPr>
                <w:rFonts w:ascii="Times New Roman" w:eastAsia="Times New Roman" w:hAnsi="Times New Roman" w:cs="Times New Roman"/>
                <w:b/>
                <w:sz w:val="18"/>
              </w:rPr>
              <w:t>egimen</w:t>
            </w:r>
          </w:p>
        </w:tc>
        <w:tc>
          <w:tcPr>
            <w:tcW w:w="1023" w:type="dxa"/>
            <w:tcBorders>
              <w:top w:val="single" w:sz="12" w:space="0" w:color="000000"/>
              <w:left w:val="none" w:sz="0" w:space="0" w:color="000000"/>
              <w:bottom w:val="single" w:sz="6" w:space="0" w:color="000000"/>
              <w:right w:val="none" w:sz="0" w:space="0" w:color="000000"/>
            </w:tcBorders>
            <w:vAlign w:val="center"/>
          </w:tcPr>
          <w:p w14:paraId="58EA5F2C" w14:textId="27F65D6D"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Studies</w:t>
            </w:r>
            <w:r w:rsidR="006D5FB2" w:rsidRPr="008E1CAD">
              <w:rPr>
                <w:rFonts w:ascii="Times New Roman" w:eastAsia="Times New Roman" w:hAnsi="Times New Roman" w:cs="Times New Roman"/>
                <w:b/>
                <w:sz w:val="18"/>
              </w:rPr>
              <w:t xml:space="preserve"> </w:t>
            </w:r>
            <w:r w:rsidRPr="008E1CAD">
              <w:rPr>
                <w:rFonts w:ascii="Times New Roman" w:eastAsia="Times New Roman" w:hAnsi="Times New Roman" w:cs="Times New Roman"/>
                <w:b/>
                <w:sz w:val="18"/>
              </w:rPr>
              <w:t>(n)</w:t>
            </w:r>
          </w:p>
        </w:tc>
        <w:tc>
          <w:tcPr>
            <w:tcW w:w="1023" w:type="dxa"/>
            <w:tcBorders>
              <w:top w:val="single" w:sz="12" w:space="0" w:color="000000"/>
              <w:left w:val="none" w:sz="0" w:space="0" w:color="000000"/>
              <w:bottom w:val="single" w:sz="6" w:space="0" w:color="000000"/>
              <w:right w:val="none" w:sz="0" w:space="0" w:color="000000"/>
            </w:tcBorders>
            <w:vAlign w:val="center"/>
          </w:tcPr>
          <w:p w14:paraId="32520AC7" w14:textId="6EF7DBCC"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Sample</w:t>
            </w:r>
            <w:r w:rsidR="006D5FB2"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s</w:t>
            </w:r>
            <w:r w:rsidRPr="008E1CAD">
              <w:rPr>
                <w:rFonts w:ascii="Times New Roman" w:eastAsia="Times New Roman" w:hAnsi="Times New Roman" w:cs="Times New Roman"/>
                <w:b/>
                <w:sz w:val="18"/>
              </w:rPr>
              <w:t>ize (N)</w:t>
            </w:r>
          </w:p>
        </w:tc>
        <w:tc>
          <w:tcPr>
            <w:tcW w:w="1027" w:type="dxa"/>
            <w:tcBorders>
              <w:top w:val="single" w:sz="12" w:space="0" w:color="000000"/>
              <w:left w:val="none" w:sz="0" w:space="0" w:color="000000"/>
              <w:bottom w:val="single" w:sz="6" w:space="0" w:color="000000"/>
              <w:right w:val="none" w:sz="0" w:space="0" w:color="000000"/>
            </w:tcBorders>
            <w:vAlign w:val="center"/>
          </w:tcPr>
          <w:p w14:paraId="10744E6F" w14:textId="3E818C9E"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Baselin</w:t>
            </w:r>
            <w:r w:rsidR="00090FCB" w:rsidRPr="008E1CAD">
              <w:rPr>
                <w:rFonts w:ascii="Times New Roman" w:eastAsia="Times New Roman" w:hAnsi="Times New Roman" w:cs="Times New Roman"/>
                <w:b/>
                <w:sz w:val="18"/>
              </w:rPr>
              <w:t>e</w:t>
            </w:r>
          </w:p>
        </w:tc>
        <w:tc>
          <w:tcPr>
            <w:tcW w:w="1019" w:type="dxa"/>
            <w:tcBorders>
              <w:top w:val="single" w:sz="12" w:space="0" w:color="000000"/>
              <w:left w:val="none" w:sz="0" w:space="0" w:color="000000"/>
              <w:bottom w:val="single" w:sz="6" w:space="0" w:color="000000"/>
              <w:right w:val="none" w:sz="0" w:space="0" w:color="000000"/>
            </w:tcBorders>
            <w:vAlign w:val="center"/>
          </w:tcPr>
          <w:p w14:paraId="58F1BF81" w14:textId="52CD20AC"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95% CI</w:t>
            </w:r>
            <w:r w:rsidR="006D5FB2" w:rsidRPr="008E1CAD">
              <w:rPr>
                <w:rFonts w:ascii="Times New Roman" w:eastAsia="Times New Roman" w:hAnsi="Times New Roman" w:cs="Times New Roman"/>
                <w:b/>
                <w:sz w:val="18"/>
              </w:rPr>
              <w:t xml:space="preserve"> l</w:t>
            </w:r>
            <w:r w:rsidRPr="008E1CAD">
              <w:rPr>
                <w:rFonts w:ascii="Times New Roman" w:eastAsia="Times New Roman" w:hAnsi="Times New Roman" w:cs="Times New Roman"/>
                <w:b/>
                <w:sz w:val="18"/>
              </w:rPr>
              <w:t>ower</w:t>
            </w:r>
          </w:p>
        </w:tc>
        <w:tc>
          <w:tcPr>
            <w:tcW w:w="1019" w:type="dxa"/>
            <w:tcBorders>
              <w:top w:val="single" w:sz="12" w:space="0" w:color="000000"/>
              <w:left w:val="none" w:sz="0" w:space="0" w:color="000000"/>
              <w:bottom w:val="single" w:sz="6" w:space="0" w:color="000000"/>
              <w:right w:val="none" w:sz="0" w:space="0" w:color="000000"/>
            </w:tcBorders>
            <w:vAlign w:val="center"/>
          </w:tcPr>
          <w:p w14:paraId="4D4CA722" w14:textId="17408366"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95% CI</w:t>
            </w:r>
            <w:r w:rsidR="006D5FB2" w:rsidRPr="008E1CAD">
              <w:rPr>
                <w:rFonts w:ascii="Times New Roman" w:eastAsia="Times New Roman" w:hAnsi="Times New Roman" w:cs="Times New Roman"/>
                <w:b/>
                <w:sz w:val="18"/>
              </w:rPr>
              <w:t xml:space="preserve"> u</w:t>
            </w:r>
            <w:r w:rsidRPr="008E1CAD">
              <w:rPr>
                <w:rFonts w:ascii="Times New Roman" w:eastAsia="Times New Roman" w:hAnsi="Times New Roman" w:cs="Times New Roman"/>
                <w:b/>
                <w:sz w:val="18"/>
              </w:rPr>
              <w:t>pper</w:t>
            </w:r>
          </w:p>
        </w:tc>
        <w:tc>
          <w:tcPr>
            <w:tcW w:w="1034" w:type="dxa"/>
            <w:tcBorders>
              <w:top w:val="single" w:sz="12" w:space="0" w:color="000000"/>
              <w:left w:val="none" w:sz="0" w:space="0" w:color="000000"/>
              <w:bottom w:val="single" w:sz="6" w:space="0" w:color="000000"/>
              <w:right w:val="none" w:sz="0" w:space="0" w:color="000000"/>
            </w:tcBorders>
            <w:vAlign w:val="center"/>
          </w:tcPr>
          <w:p w14:paraId="10B49314" w14:textId="502308A3"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 xml:space="preserve">Data </w:t>
            </w:r>
            <w:r w:rsidR="00090FCB" w:rsidRPr="008E1CAD">
              <w:rPr>
                <w:rFonts w:ascii="Times New Roman" w:eastAsia="Times New Roman" w:hAnsi="Times New Roman" w:cs="Times New Roman"/>
                <w:b/>
                <w:sz w:val="18"/>
              </w:rPr>
              <w:t>s</w:t>
            </w:r>
            <w:r w:rsidRPr="008E1CAD">
              <w:rPr>
                <w:rFonts w:ascii="Times New Roman" w:eastAsia="Times New Roman" w:hAnsi="Times New Roman" w:cs="Times New Roman"/>
                <w:b/>
                <w:sz w:val="18"/>
              </w:rPr>
              <w:t>ource</w:t>
            </w:r>
          </w:p>
        </w:tc>
      </w:tr>
      <w:tr w:rsidR="008E6781" w:rsidRPr="008E1CAD" w14:paraId="6E10B0F3" w14:textId="77777777" w:rsidTr="00AA719D">
        <w:trPr>
          <w:jc w:val="center"/>
        </w:trPr>
        <w:tc>
          <w:tcPr>
            <w:tcW w:w="8300" w:type="dxa"/>
            <w:gridSpan w:val="8"/>
            <w:tcBorders>
              <w:top w:val="none" w:sz="0" w:space="0" w:color="000000"/>
              <w:left w:val="none" w:sz="0" w:space="0" w:color="000000"/>
              <w:bottom w:val="none" w:sz="0" w:space="0" w:color="000000"/>
              <w:right w:val="none" w:sz="0" w:space="0" w:color="000000"/>
            </w:tcBorders>
            <w:vAlign w:val="center"/>
          </w:tcPr>
          <w:p w14:paraId="2FBFD9BB" w14:textId="08AA2A3F" w:rsidR="008E6781" w:rsidRPr="008E1CAD" w:rsidRDefault="008E6781" w:rsidP="00427DBD">
            <w:pPr>
              <w:spacing w:before="40" w:after="40"/>
              <w:jc w:val="both"/>
              <w:rPr>
                <w:rFonts w:ascii="Times New Roman" w:hAnsi="Times New Roman" w:cs="Times New Roman"/>
              </w:rPr>
            </w:pPr>
            <w:r w:rsidRPr="008E1CAD">
              <w:rPr>
                <w:rFonts w:ascii="Times New Roman" w:eastAsia="Times New Roman" w:hAnsi="Times New Roman" w:cs="Times New Roman"/>
                <w:b/>
                <w:sz w:val="18"/>
              </w:rPr>
              <w:t xml:space="preserve">Monthly </w:t>
            </w:r>
            <w:r w:rsidR="00EE10DB" w:rsidRPr="008E1CAD">
              <w:rPr>
                <w:rFonts w:ascii="Times New Roman" w:eastAsia="Times New Roman" w:hAnsi="Times New Roman" w:cs="Times New Roman"/>
                <w:b/>
                <w:sz w:val="18"/>
              </w:rPr>
              <w:t xml:space="preserve">progression risk </w:t>
            </w:r>
          </w:p>
        </w:tc>
      </w:tr>
      <w:tr w:rsidR="00907E93" w:rsidRPr="008E1CAD" w14:paraId="6CE41A1B"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11614833"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C1B91F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DRd</w:t>
            </w:r>
          </w:p>
        </w:tc>
        <w:tc>
          <w:tcPr>
            <w:tcW w:w="1023" w:type="dxa"/>
            <w:tcBorders>
              <w:top w:val="none" w:sz="0" w:space="0" w:color="000000"/>
              <w:left w:val="none" w:sz="0" w:space="0" w:color="000000"/>
              <w:bottom w:val="none" w:sz="0" w:space="0" w:color="000000"/>
              <w:right w:val="none" w:sz="0" w:space="0" w:color="000000"/>
            </w:tcBorders>
            <w:vAlign w:val="center"/>
          </w:tcPr>
          <w:p w14:paraId="28BC590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w:t>
            </w:r>
          </w:p>
        </w:tc>
        <w:tc>
          <w:tcPr>
            <w:tcW w:w="1023" w:type="dxa"/>
            <w:tcBorders>
              <w:top w:val="none" w:sz="0" w:space="0" w:color="000000"/>
              <w:left w:val="none" w:sz="0" w:space="0" w:color="000000"/>
              <w:bottom w:val="none" w:sz="0" w:space="0" w:color="000000"/>
              <w:right w:val="none" w:sz="0" w:space="0" w:color="000000"/>
            </w:tcBorders>
            <w:vAlign w:val="center"/>
          </w:tcPr>
          <w:p w14:paraId="5CAF106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87</w:t>
            </w:r>
          </w:p>
        </w:tc>
        <w:tc>
          <w:tcPr>
            <w:tcW w:w="1027" w:type="dxa"/>
            <w:tcBorders>
              <w:top w:val="none" w:sz="0" w:space="0" w:color="000000"/>
              <w:left w:val="none" w:sz="0" w:space="0" w:color="000000"/>
              <w:bottom w:val="none" w:sz="0" w:space="0" w:color="000000"/>
              <w:right w:val="none" w:sz="0" w:space="0" w:color="000000"/>
            </w:tcBorders>
            <w:vAlign w:val="center"/>
          </w:tcPr>
          <w:p w14:paraId="4315B44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0.039</w:t>
            </w:r>
          </w:p>
        </w:tc>
        <w:tc>
          <w:tcPr>
            <w:tcW w:w="1019" w:type="dxa"/>
            <w:tcBorders>
              <w:top w:val="none" w:sz="0" w:space="0" w:color="000000"/>
              <w:left w:val="none" w:sz="0" w:space="0" w:color="000000"/>
              <w:bottom w:val="none" w:sz="0" w:space="0" w:color="000000"/>
              <w:right w:val="none" w:sz="0" w:space="0" w:color="000000"/>
            </w:tcBorders>
            <w:vAlign w:val="center"/>
          </w:tcPr>
          <w:p w14:paraId="32B21F1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0.013</w:t>
            </w:r>
          </w:p>
        </w:tc>
        <w:tc>
          <w:tcPr>
            <w:tcW w:w="1019" w:type="dxa"/>
            <w:tcBorders>
              <w:top w:val="none" w:sz="0" w:space="0" w:color="000000"/>
              <w:left w:val="none" w:sz="0" w:space="0" w:color="000000"/>
              <w:bottom w:val="none" w:sz="0" w:space="0" w:color="000000"/>
              <w:right w:val="none" w:sz="0" w:space="0" w:color="000000"/>
            </w:tcBorders>
            <w:vAlign w:val="center"/>
          </w:tcPr>
          <w:p w14:paraId="765EEB7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0.107</w:t>
            </w:r>
          </w:p>
        </w:tc>
        <w:tc>
          <w:tcPr>
            <w:tcW w:w="1034" w:type="dxa"/>
            <w:tcBorders>
              <w:top w:val="none" w:sz="0" w:space="0" w:color="000000"/>
              <w:left w:val="none" w:sz="0" w:space="0" w:color="000000"/>
              <w:bottom w:val="none" w:sz="0" w:space="0" w:color="000000"/>
              <w:right w:val="none" w:sz="0" w:space="0" w:color="000000"/>
            </w:tcBorders>
            <w:vAlign w:val="center"/>
          </w:tcPr>
          <w:p w14:paraId="327C7D6A" w14:textId="61A32F29"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 xml:space="preserve">Chiu 2023, Sunami 2020, </w:t>
            </w:r>
            <w:r w:rsidR="00A96384" w:rsidRPr="008E1CAD">
              <w:rPr>
                <w:rFonts w:ascii="Times New Roman" w:hAnsi="Times New Roman" w:cs="Times New Roman"/>
                <w:sz w:val="18"/>
              </w:rPr>
              <w:t>Liu</w:t>
            </w:r>
            <w:r w:rsidRPr="008E1CAD">
              <w:rPr>
                <w:rFonts w:ascii="Times New Roman" w:eastAsia="Times New Roman" w:hAnsi="Times New Roman" w:cs="Times New Roman"/>
                <w:sz w:val="18"/>
              </w:rPr>
              <w:t xml:space="preserve"> 2021</w:t>
            </w:r>
            <w:r w:rsidR="00BC77CA" w:rsidRPr="008E1CAD">
              <w:rPr>
                <w:rFonts w:ascii="Times New Roman" w:eastAsia="Times New Roman" w:hAnsi="Times New Roman" w:cs="Times New Roman"/>
                <w:sz w:val="18"/>
              </w:rPr>
              <w:t>a</w:t>
            </w:r>
          </w:p>
        </w:tc>
      </w:tr>
      <w:tr w:rsidR="00907E93" w:rsidRPr="008E1CAD" w14:paraId="3B7A99D2"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05CA6C68"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41AD892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DPd</w:t>
            </w:r>
          </w:p>
        </w:tc>
        <w:tc>
          <w:tcPr>
            <w:tcW w:w="1023" w:type="dxa"/>
            <w:tcBorders>
              <w:top w:val="none" w:sz="0" w:space="0" w:color="000000"/>
              <w:left w:val="none" w:sz="0" w:space="0" w:color="000000"/>
              <w:bottom w:val="none" w:sz="0" w:space="0" w:color="000000"/>
              <w:right w:val="none" w:sz="0" w:space="0" w:color="000000"/>
            </w:tcBorders>
            <w:vAlign w:val="center"/>
          </w:tcPr>
          <w:p w14:paraId="39737FE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w:t>
            </w:r>
          </w:p>
        </w:tc>
        <w:tc>
          <w:tcPr>
            <w:tcW w:w="1023" w:type="dxa"/>
            <w:tcBorders>
              <w:top w:val="none" w:sz="0" w:space="0" w:color="000000"/>
              <w:left w:val="none" w:sz="0" w:space="0" w:color="000000"/>
              <w:bottom w:val="none" w:sz="0" w:space="0" w:color="000000"/>
              <w:right w:val="none" w:sz="0" w:space="0" w:color="000000"/>
            </w:tcBorders>
            <w:vAlign w:val="center"/>
          </w:tcPr>
          <w:p w14:paraId="1EFF6A0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54</w:t>
            </w:r>
          </w:p>
        </w:tc>
        <w:tc>
          <w:tcPr>
            <w:tcW w:w="1027" w:type="dxa"/>
            <w:tcBorders>
              <w:top w:val="none" w:sz="0" w:space="0" w:color="000000"/>
              <w:left w:val="none" w:sz="0" w:space="0" w:color="000000"/>
              <w:bottom w:val="none" w:sz="0" w:space="0" w:color="000000"/>
              <w:right w:val="none" w:sz="0" w:space="0" w:color="000000"/>
            </w:tcBorders>
            <w:vAlign w:val="center"/>
          </w:tcPr>
          <w:p w14:paraId="4792B06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0.089</w:t>
            </w:r>
          </w:p>
        </w:tc>
        <w:tc>
          <w:tcPr>
            <w:tcW w:w="1019" w:type="dxa"/>
            <w:tcBorders>
              <w:top w:val="none" w:sz="0" w:space="0" w:color="000000"/>
              <w:left w:val="none" w:sz="0" w:space="0" w:color="000000"/>
              <w:bottom w:val="none" w:sz="0" w:space="0" w:color="000000"/>
              <w:right w:val="none" w:sz="0" w:space="0" w:color="000000"/>
            </w:tcBorders>
            <w:vAlign w:val="center"/>
          </w:tcPr>
          <w:p w14:paraId="618766C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0.037</w:t>
            </w:r>
          </w:p>
        </w:tc>
        <w:tc>
          <w:tcPr>
            <w:tcW w:w="1019" w:type="dxa"/>
            <w:tcBorders>
              <w:top w:val="none" w:sz="0" w:space="0" w:color="000000"/>
              <w:left w:val="none" w:sz="0" w:space="0" w:color="000000"/>
              <w:bottom w:val="none" w:sz="0" w:space="0" w:color="000000"/>
              <w:right w:val="none" w:sz="0" w:space="0" w:color="000000"/>
            </w:tcBorders>
            <w:vAlign w:val="center"/>
          </w:tcPr>
          <w:p w14:paraId="227E623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0.200</w:t>
            </w:r>
          </w:p>
        </w:tc>
        <w:tc>
          <w:tcPr>
            <w:tcW w:w="1034" w:type="dxa"/>
            <w:tcBorders>
              <w:top w:val="none" w:sz="0" w:space="0" w:color="000000"/>
              <w:left w:val="none" w:sz="0" w:space="0" w:color="000000"/>
              <w:bottom w:val="none" w:sz="0" w:space="0" w:color="000000"/>
              <w:right w:val="none" w:sz="0" w:space="0" w:color="000000"/>
            </w:tcBorders>
            <w:vAlign w:val="center"/>
          </w:tcPr>
          <w:p w14:paraId="658BB3B8" w14:textId="002FEC58"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 xml:space="preserve">Han 2023, Han 2024, </w:t>
            </w:r>
            <w:r w:rsidR="00A96384" w:rsidRPr="008E1CAD">
              <w:rPr>
                <w:rFonts w:ascii="Times New Roman" w:hAnsi="Times New Roman" w:cs="Times New Roman"/>
                <w:sz w:val="18"/>
              </w:rPr>
              <w:t xml:space="preserve">Lu </w:t>
            </w:r>
            <w:r w:rsidRPr="008E1CAD">
              <w:rPr>
                <w:rFonts w:ascii="Times New Roman" w:eastAsia="Times New Roman" w:hAnsi="Times New Roman" w:cs="Times New Roman"/>
                <w:sz w:val="18"/>
              </w:rPr>
              <w:t>2023</w:t>
            </w:r>
          </w:p>
        </w:tc>
      </w:tr>
      <w:tr w:rsidR="00907E93" w:rsidRPr="008E1CAD" w14:paraId="34C98A04"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696BF06B"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6CF31E9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Dd</w:t>
            </w:r>
          </w:p>
        </w:tc>
        <w:tc>
          <w:tcPr>
            <w:tcW w:w="1023" w:type="dxa"/>
            <w:tcBorders>
              <w:top w:val="none" w:sz="0" w:space="0" w:color="000000"/>
              <w:left w:val="none" w:sz="0" w:space="0" w:color="000000"/>
              <w:bottom w:val="none" w:sz="0" w:space="0" w:color="000000"/>
              <w:right w:val="none" w:sz="0" w:space="0" w:color="000000"/>
            </w:tcBorders>
            <w:vAlign w:val="center"/>
          </w:tcPr>
          <w:p w14:paraId="45EAAD3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5704607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w:t>
            </w:r>
          </w:p>
        </w:tc>
        <w:tc>
          <w:tcPr>
            <w:tcW w:w="1027" w:type="dxa"/>
            <w:tcBorders>
              <w:top w:val="none" w:sz="0" w:space="0" w:color="000000"/>
              <w:left w:val="none" w:sz="0" w:space="0" w:color="000000"/>
              <w:bottom w:val="none" w:sz="0" w:space="0" w:color="000000"/>
              <w:right w:val="none" w:sz="0" w:space="0" w:color="000000"/>
            </w:tcBorders>
            <w:vAlign w:val="center"/>
          </w:tcPr>
          <w:p w14:paraId="5DF5794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0.293</w:t>
            </w:r>
          </w:p>
        </w:tc>
        <w:tc>
          <w:tcPr>
            <w:tcW w:w="1019" w:type="dxa"/>
            <w:tcBorders>
              <w:top w:val="none" w:sz="0" w:space="0" w:color="000000"/>
              <w:left w:val="none" w:sz="0" w:space="0" w:color="000000"/>
              <w:bottom w:val="none" w:sz="0" w:space="0" w:color="000000"/>
              <w:right w:val="none" w:sz="0" w:space="0" w:color="000000"/>
            </w:tcBorders>
            <w:vAlign w:val="center"/>
          </w:tcPr>
          <w:p w14:paraId="2D39FCD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0.083</w:t>
            </w:r>
          </w:p>
        </w:tc>
        <w:tc>
          <w:tcPr>
            <w:tcW w:w="1019" w:type="dxa"/>
            <w:tcBorders>
              <w:top w:val="none" w:sz="0" w:space="0" w:color="000000"/>
              <w:left w:val="none" w:sz="0" w:space="0" w:color="000000"/>
              <w:bottom w:val="none" w:sz="0" w:space="0" w:color="000000"/>
              <w:right w:val="none" w:sz="0" w:space="0" w:color="000000"/>
            </w:tcBorders>
            <w:vAlign w:val="center"/>
          </w:tcPr>
          <w:p w14:paraId="24A5CDD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0.655</w:t>
            </w:r>
          </w:p>
        </w:tc>
        <w:tc>
          <w:tcPr>
            <w:tcW w:w="1034" w:type="dxa"/>
            <w:tcBorders>
              <w:top w:val="none" w:sz="0" w:space="0" w:color="000000"/>
              <w:left w:val="none" w:sz="0" w:space="0" w:color="000000"/>
              <w:bottom w:val="none" w:sz="0" w:space="0" w:color="000000"/>
              <w:right w:val="none" w:sz="0" w:space="0" w:color="000000"/>
            </w:tcBorders>
            <w:vAlign w:val="center"/>
          </w:tcPr>
          <w:p w14:paraId="07D5EBF3" w14:textId="4C55109C"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Liu</w:t>
            </w:r>
            <w:r w:rsidR="0003659E" w:rsidRPr="008E1CAD">
              <w:rPr>
                <w:rFonts w:ascii="Times New Roman" w:eastAsia="Times New Roman" w:hAnsi="Times New Roman" w:cs="Times New Roman"/>
                <w:sz w:val="18"/>
              </w:rPr>
              <w:t xml:space="preserve"> 2021</w:t>
            </w:r>
            <w:r w:rsidR="00BC77CA" w:rsidRPr="008E1CAD">
              <w:rPr>
                <w:rFonts w:ascii="Times New Roman" w:eastAsia="Times New Roman" w:hAnsi="Times New Roman" w:cs="Times New Roman"/>
                <w:sz w:val="18"/>
              </w:rPr>
              <w:t>a</w:t>
            </w:r>
          </w:p>
        </w:tc>
      </w:tr>
      <w:tr w:rsidR="00907E93" w:rsidRPr="008E1CAD" w14:paraId="4AE28744"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32C092E5"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20D0340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Dara Mono</w:t>
            </w:r>
          </w:p>
        </w:tc>
        <w:tc>
          <w:tcPr>
            <w:tcW w:w="1023" w:type="dxa"/>
            <w:tcBorders>
              <w:top w:val="none" w:sz="0" w:space="0" w:color="000000"/>
              <w:left w:val="none" w:sz="0" w:space="0" w:color="000000"/>
              <w:bottom w:val="none" w:sz="0" w:space="0" w:color="000000"/>
              <w:right w:val="none" w:sz="0" w:space="0" w:color="000000"/>
            </w:tcBorders>
            <w:vAlign w:val="center"/>
          </w:tcPr>
          <w:p w14:paraId="6E69E74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6FD9B79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w:t>
            </w:r>
          </w:p>
        </w:tc>
        <w:tc>
          <w:tcPr>
            <w:tcW w:w="1027" w:type="dxa"/>
            <w:tcBorders>
              <w:top w:val="none" w:sz="0" w:space="0" w:color="000000"/>
              <w:left w:val="none" w:sz="0" w:space="0" w:color="000000"/>
              <w:bottom w:val="none" w:sz="0" w:space="0" w:color="000000"/>
              <w:right w:val="none" w:sz="0" w:space="0" w:color="000000"/>
            </w:tcBorders>
            <w:vAlign w:val="center"/>
          </w:tcPr>
          <w:p w14:paraId="0E64722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0.127</w:t>
            </w:r>
          </w:p>
        </w:tc>
        <w:tc>
          <w:tcPr>
            <w:tcW w:w="1019" w:type="dxa"/>
            <w:tcBorders>
              <w:top w:val="none" w:sz="0" w:space="0" w:color="000000"/>
              <w:left w:val="none" w:sz="0" w:space="0" w:color="000000"/>
              <w:bottom w:val="none" w:sz="0" w:space="0" w:color="000000"/>
              <w:right w:val="none" w:sz="0" w:space="0" w:color="000000"/>
            </w:tcBorders>
            <w:vAlign w:val="center"/>
          </w:tcPr>
          <w:p w14:paraId="3E7AE28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0.060</w:t>
            </w:r>
          </w:p>
        </w:tc>
        <w:tc>
          <w:tcPr>
            <w:tcW w:w="1019" w:type="dxa"/>
            <w:tcBorders>
              <w:top w:val="none" w:sz="0" w:space="0" w:color="000000"/>
              <w:left w:val="none" w:sz="0" w:space="0" w:color="000000"/>
              <w:bottom w:val="none" w:sz="0" w:space="0" w:color="000000"/>
              <w:right w:val="none" w:sz="0" w:space="0" w:color="000000"/>
            </w:tcBorders>
            <w:vAlign w:val="center"/>
          </w:tcPr>
          <w:p w14:paraId="0B50678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0.251</w:t>
            </w:r>
          </w:p>
        </w:tc>
        <w:tc>
          <w:tcPr>
            <w:tcW w:w="1034" w:type="dxa"/>
            <w:tcBorders>
              <w:top w:val="none" w:sz="0" w:space="0" w:color="000000"/>
              <w:left w:val="none" w:sz="0" w:space="0" w:color="000000"/>
              <w:bottom w:val="none" w:sz="0" w:space="0" w:color="000000"/>
              <w:right w:val="none" w:sz="0" w:space="0" w:color="000000"/>
            </w:tcBorders>
            <w:vAlign w:val="center"/>
          </w:tcPr>
          <w:p w14:paraId="269F5DE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Cho 2023</w:t>
            </w:r>
          </w:p>
        </w:tc>
      </w:tr>
      <w:tr w:rsidR="00907E93" w:rsidRPr="008E1CAD" w14:paraId="65FC1EF1"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6F6C0A73"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1ED9DA4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VPd</w:t>
            </w:r>
          </w:p>
        </w:tc>
        <w:tc>
          <w:tcPr>
            <w:tcW w:w="1023" w:type="dxa"/>
            <w:tcBorders>
              <w:top w:val="none" w:sz="0" w:space="0" w:color="000000"/>
              <w:left w:val="none" w:sz="0" w:space="0" w:color="000000"/>
              <w:bottom w:val="none" w:sz="0" w:space="0" w:color="000000"/>
              <w:right w:val="none" w:sz="0" w:space="0" w:color="000000"/>
            </w:tcBorders>
            <w:vAlign w:val="center"/>
          </w:tcPr>
          <w:p w14:paraId="2698DE5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w:t>
            </w:r>
          </w:p>
        </w:tc>
        <w:tc>
          <w:tcPr>
            <w:tcW w:w="1023" w:type="dxa"/>
            <w:tcBorders>
              <w:top w:val="none" w:sz="0" w:space="0" w:color="000000"/>
              <w:left w:val="none" w:sz="0" w:space="0" w:color="000000"/>
              <w:bottom w:val="none" w:sz="0" w:space="0" w:color="000000"/>
              <w:right w:val="none" w:sz="0" w:space="0" w:color="000000"/>
            </w:tcBorders>
            <w:vAlign w:val="center"/>
          </w:tcPr>
          <w:p w14:paraId="5196A10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78</w:t>
            </w:r>
          </w:p>
        </w:tc>
        <w:tc>
          <w:tcPr>
            <w:tcW w:w="1027" w:type="dxa"/>
            <w:tcBorders>
              <w:top w:val="none" w:sz="0" w:space="0" w:color="000000"/>
              <w:left w:val="none" w:sz="0" w:space="0" w:color="000000"/>
              <w:bottom w:val="none" w:sz="0" w:space="0" w:color="000000"/>
              <w:right w:val="none" w:sz="0" w:space="0" w:color="000000"/>
            </w:tcBorders>
            <w:vAlign w:val="center"/>
          </w:tcPr>
          <w:p w14:paraId="1AAD235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0.068</w:t>
            </w:r>
          </w:p>
        </w:tc>
        <w:tc>
          <w:tcPr>
            <w:tcW w:w="1019" w:type="dxa"/>
            <w:tcBorders>
              <w:top w:val="none" w:sz="0" w:space="0" w:color="000000"/>
              <w:left w:val="none" w:sz="0" w:space="0" w:color="000000"/>
              <w:bottom w:val="none" w:sz="0" w:space="0" w:color="000000"/>
              <w:right w:val="none" w:sz="0" w:space="0" w:color="000000"/>
            </w:tcBorders>
            <w:vAlign w:val="center"/>
          </w:tcPr>
          <w:p w14:paraId="7F31ECF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0.030</w:t>
            </w:r>
          </w:p>
        </w:tc>
        <w:tc>
          <w:tcPr>
            <w:tcW w:w="1019" w:type="dxa"/>
            <w:tcBorders>
              <w:top w:val="none" w:sz="0" w:space="0" w:color="000000"/>
              <w:left w:val="none" w:sz="0" w:space="0" w:color="000000"/>
              <w:bottom w:val="none" w:sz="0" w:space="0" w:color="000000"/>
              <w:right w:val="none" w:sz="0" w:space="0" w:color="000000"/>
            </w:tcBorders>
            <w:vAlign w:val="center"/>
          </w:tcPr>
          <w:p w14:paraId="395BAAB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0.150</w:t>
            </w:r>
          </w:p>
        </w:tc>
        <w:tc>
          <w:tcPr>
            <w:tcW w:w="1034" w:type="dxa"/>
            <w:tcBorders>
              <w:top w:val="none" w:sz="0" w:space="0" w:color="000000"/>
              <w:left w:val="none" w:sz="0" w:space="0" w:color="000000"/>
              <w:bottom w:val="none" w:sz="0" w:space="0" w:color="000000"/>
              <w:right w:val="none" w:sz="0" w:space="0" w:color="000000"/>
            </w:tcBorders>
            <w:vAlign w:val="center"/>
          </w:tcPr>
          <w:p w14:paraId="0CB06415" w14:textId="4C7E1489"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 xml:space="preserve">Lu </w:t>
            </w:r>
            <w:r w:rsidR="0003659E" w:rsidRPr="008E1CAD">
              <w:rPr>
                <w:rFonts w:ascii="Times New Roman" w:eastAsia="Times New Roman" w:hAnsi="Times New Roman" w:cs="Times New Roman"/>
                <w:sz w:val="18"/>
              </w:rPr>
              <w:t>2023</w:t>
            </w:r>
            <w:r w:rsidRPr="008E1CAD">
              <w:rPr>
                <w:rFonts w:ascii="Times New Roman" w:eastAsia="Times New Roman" w:hAnsi="Times New Roman" w:cs="Times New Roman"/>
                <w:sz w:val="18"/>
              </w:rPr>
              <w:t>, Wang</w:t>
            </w:r>
            <w:r w:rsidR="0003659E" w:rsidRPr="008E1CAD">
              <w:rPr>
                <w:rFonts w:ascii="Times New Roman" w:eastAsia="Times New Roman" w:hAnsi="Times New Roman" w:cs="Times New Roman"/>
                <w:sz w:val="18"/>
              </w:rPr>
              <w:t xml:space="preserve"> 2023</w:t>
            </w:r>
            <w:r w:rsidR="00791E18">
              <w:rPr>
                <w:rFonts w:ascii="Times New Roman" w:eastAsia="Times New Roman" w:hAnsi="Times New Roman" w:cs="Times New Roman" w:hint="eastAsia"/>
                <w:sz w:val="18"/>
              </w:rPr>
              <w:t>a</w:t>
            </w:r>
          </w:p>
        </w:tc>
      </w:tr>
      <w:tr w:rsidR="00907E93" w:rsidRPr="008E1CAD" w14:paraId="032B6D29"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143BEEED"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A49B8B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VCd</w:t>
            </w:r>
          </w:p>
        </w:tc>
        <w:tc>
          <w:tcPr>
            <w:tcW w:w="1023" w:type="dxa"/>
            <w:tcBorders>
              <w:top w:val="none" w:sz="0" w:space="0" w:color="000000"/>
              <w:left w:val="none" w:sz="0" w:space="0" w:color="000000"/>
              <w:bottom w:val="none" w:sz="0" w:space="0" w:color="000000"/>
              <w:right w:val="none" w:sz="0" w:space="0" w:color="000000"/>
            </w:tcBorders>
            <w:vAlign w:val="center"/>
          </w:tcPr>
          <w:p w14:paraId="5940FEC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2D7BFE0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w:t>
            </w:r>
          </w:p>
        </w:tc>
        <w:tc>
          <w:tcPr>
            <w:tcW w:w="1027" w:type="dxa"/>
            <w:tcBorders>
              <w:top w:val="none" w:sz="0" w:space="0" w:color="000000"/>
              <w:left w:val="none" w:sz="0" w:space="0" w:color="000000"/>
              <w:bottom w:val="none" w:sz="0" w:space="0" w:color="000000"/>
              <w:right w:val="none" w:sz="0" w:space="0" w:color="000000"/>
            </w:tcBorders>
            <w:vAlign w:val="center"/>
          </w:tcPr>
          <w:p w14:paraId="08CC25B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0.129</w:t>
            </w:r>
          </w:p>
        </w:tc>
        <w:tc>
          <w:tcPr>
            <w:tcW w:w="1019" w:type="dxa"/>
            <w:tcBorders>
              <w:top w:val="none" w:sz="0" w:space="0" w:color="000000"/>
              <w:left w:val="none" w:sz="0" w:space="0" w:color="000000"/>
              <w:bottom w:val="none" w:sz="0" w:space="0" w:color="000000"/>
              <w:right w:val="none" w:sz="0" w:space="0" w:color="000000"/>
            </w:tcBorders>
            <w:vAlign w:val="center"/>
          </w:tcPr>
          <w:p w14:paraId="1ACE82B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0.025</w:t>
            </w:r>
          </w:p>
        </w:tc>
        <w:tc>
          <w:tcPr>
            <w:tcW w:w="1019" w:type="dxa"/>
            <w:tcBorders>
              <w:top w:val="none" w:sz="0" w:space="0" w:color="000000"/>
              <w:left w:val="none" w:sz="0" w:space="0" w:color="000000"/>
              <w:bottom w:val="none" w:sz="0" w:space="0" w:color="000000"/>
              <w:right w:val="none" w:sz="0" w:space="0" w:color="000000"/>
            </w:tcBorders>
            <w:vAlign w:val="center"/>
          </w:tcPr>
          <w:p w14:paraId="7F788B2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0.464</w:t>
            </w:r>
          </w:p>
        </w:tc>
        <w:tc>
          <w:tcPr>
            <w:tcW w:w="1034" w:type="dxa"/>
            <w:tcBorders>
              <w:top w:val="none" w:sz="0" w:space="0" w:color="000000"/>
              <w:left w:val="none" w:sz="0" w:space="0" w:color="000000"/>
              <w:bottom w:val="none" w:sz="0" w:space="0" w:color="000000"/>
              <w:right w:val="none" w:sz="0" w:space="0" w:color="000000"/>
            </w:tcBorders>
            <w:vAlign w:val="center"/>
          </w:tcPr>
          <w:p w14:paraId="4E7F429D" w14:textId="46F765CF"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Han</w:t>
            </w:r>
            <w:r w:rsidR="0003659E" w:rsidRPr="008E1CAD">
              <w:rPr>
                <w:rFonts w:ascii="Times New Roman" w:eastAsia="Times New Roman" w:hAnsi="Times New Roman" w:cs="Times New Roman"/>
                <w:sz w:val="18"/>
              </w:rPr>
              <w:t xml:space="preserve"> 2019</w:t>
            </w:r>
          </w:p>
        </w:tc>
      </w:tr>
      <w:tr w:rsidR="00907E93" w:rsidRPr="008E1CAD" w14:paraId="2F400778"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3407757E"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1D33341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Pd</w:t>
            </w:r>
          </w:p>
        </w:tc>
        <w:tc>
          <w:tcPr>
            <w:tcW w:w="1023" w:type="dxa"/>
            <w:tcBorders>
              <w:top w:val="none" w:sz="0" w:space="0" w:color="000000"/>
              <w:left w:val="none" w:sz="0" w:space="0" w:color="000000"/>
              <w:bottom w:val="none" w:sz="0" w:space="0" w:color="000000"/>
              <w:right w:val="none" w:sz="0" w:space="0" w:color="000000"/>
            </w:tcBorders>
            <w:vAlign w:val="center"/>
          </w:tcPr>
          <w:p w14:paraId="50618A7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w:t>
            </w:r>
          </w:p>
        </w:tc>
        <w:tc>
          <w:tcPr>
            <w:tcW w:w="1023" w:type="dxa"/>
            <w:tcBorders>
              <w:top w:val="none" w:sz="0" w:space="0" w:color="000000"/>
              <w:left w:val="none" w:sz="0" w:space="0" w:color="000000"/>
              <w:bottom w:val="none" w:sz="0" w:space="0" w:color="000000"/>
              <w:right w:val="none" w:sz="0" w:space="0" w:color="000000"/>
            </w:tcBorders>
            <w:vAlign w:val="center"/>
          </w:tcPr>
          <w:p w14:paraId="49095DE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157</w:t>
            </w:r>
          </w:p>
        </w:tc>
        <w:tc>
          <w:tcPr>
            <w:tcW w:w="1027" w:type="dxa"/>
            <w:tcBorders>
              <w:top w:val="none" w:sz="0" w:space="0" w:color="000000"/>
              <w:left w:val="none" w:sz="0" w:space="0" w:color="000000"/>
              <w:bottom w:val="none" w:sz="0" w:space="0" w:color="000000"/>
              <w:right w:val="none" w:sz="0" w:space="0" w:color="000000"/>
            </w:tcBorders>
            <w:vAlign w:val="center"/>
          </w:tcPr>
          <w:p w14:paraId="076457F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0.134</w:t>
            </w:r>
          </w:p>
        </w:tc>
        <w:tc>
          <w:tcPr>
            <w:tcW w:w="1019" w:type="dxa"/>
            <w:tcBorders>
              <w:top w:val="none" w:sz="0" w:space="0" w:color="000000"/>
              <w:left w:val="none" w:sz="0" w:space="0" w:color="000000"/>
              <w:bottom w:val="none" w:sz="0" w:space="0" w:color="000000"/>
              <w:right w:val="none" w:sz="0" w:space="0" w:color="000000"/>
            </w:tcBorders>
            <w:vAlign w:val="center"/>
          </w:tcPr>
          <w:p w14:paraId="2F903C0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0.089</w:t>
            </w:r>
          </w:p>
        </w:tc>
        <w:tc>
          <w:tcPr>
            <w:tcW w:w="1019" w:type="dxa"/>
            <w:tcBorders>
              <w:top w:val="none" w:sz="0" w:space="0" w:color="000000"/>
              <w:left w:val="none" w:sz="0" w:space="0" w:color="000000"/>
              <w:bottom w:val="none" w:sz="0" w:space="0" w:color="000000"/>
              <w:right w:val="none" w:sz="0" w:space="0" w:color="000000"/>
            </w:tcBorders>
            <w:vAlign w:val="center"/>
          </w:tcPr>
          <w:p w14:paraId="4B5CD94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0.197</w:t>
            </w:r>
          </w:p>
        </w:tc>
        <w:tc>
          <w:tcPr>
            <w:tcW w:w="1034" w:type="dxa"/>
            <w:tcBorders>
              <w:top w:val="none" w:sz="0" w:space="0" w:color="000000"/>
              <w:left w:val="none" w:sz="0" w:space="0" w:color="000000"/>
              <w:bottom w:val="none" w:sz="0" w:space="0" w:color="000000"/>
              <w:right w:val="none" w:sz="0" w:space="0" w:color="000000"/>
            </w:tcBorders>
            <w:vAlign w:val="center"/>
          </w:tcPr>
          <w:p w14:paraId="44092E3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Hung 2021, Jo 2020</w:t>
            </w:r>
          </w:p>
        </w:tc>
      </w:tr>
      <w:tr w:rsidR="00907E93" w:rsidRPr="008E1CAD" w14:paraId="59910248"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466B659A"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2125AB1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KRd</w:t>
            </w:r>
          </w:p>
        </w:tc>
        <w:tc>
          <w:tcPr>
            <w:tcW w:w="1023" w:type="dxa"/>
            <w:tcBorders>
              <w:top w:val="none" w:sz="0" w:space="0" w:color="000000"/>
              <w:left w:val="none" w:sz="0" w:space="0" w:color="000000"/>
              <w:bottom w:val="none" w:sz="0" w:space="0" w:color="000000"/>
              <w:right w:val="none" w:sz="0" w:space="0" w:color="000000"/>
            </w:tcBorders>
            <w:vAlign w:val="center"/>
          </w:tcPr>
          <w:p w14:paraId="3D20C17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w:t>
            </w:r>
          </w:p>
        </w:tc>
        <w:tc>
          <w:tcPr>
            <w:tcW w:w="1023" w:type="dxa"/>
            <w:tcBorders>
              <w:top w:val="none" w:sz="0" w:space="0" w:color="000000"/>
              <w:left w:val="none" w:sz="0" w:space="0" w:color="000000"/>
              <w:bottom w:val="none" w:sz="0" w:space="0" w:color="000000"/>
              <w:right w:val="none" w:sz="0" w:space="0" w:color="000000"/>
            </w:tcBorders>
            <w:vAlign w:val="center"/>
          </w:tcPr>
          <w:p w14:paraId="2CAB73C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431</w:t>
            </w:r>
          </w:p>
        </w:tc>
        <w:tc>
          <w:tcPr>
            <w:tcW w:w="1027" w:type="dxa"/>
            <w:tcBorders>
              <w:top w:val="none" w:sz="0" w:space="0" w:color="000000"/>
              <w:left w:val="none" w:sz="0" w:space="0" w:color="000000"/>
              <w:bottom w:val="none" w:sz="0" w:space="0" w:color="000000"/>
              <w:right w:val="none" w:sz="0" w:space="0" w:color="000000"/>
            </w:tcBorders>
            <w:vAlign w:val="center"/>
          </w:tcPr>
          <w:p w14:paraId="4884BEC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0.031</w:t>
            </w:r>
          </w:p>
        </w:tc>
        <w:tc>
          <w:tcPr>
            <w:tcW w:w="1019" w:type="dxa"/>
            <w:tcBorders>
              <w:top w:val="none" w:sz="0" w:space="0" w:color="000000"/>
              <w:left w:val="none" w:sz="0" w:space="0" w:color="000000"/>
              <w:bottom w:val="none" w:sz="0" w:space="0" w:color="000000"/>
              <w:right w:val="none" w:sz="0" w:space="0" w:color="000000"/>
            </w:tcBorders>
            <w:vAlign w:val="center"/>
          </w:tcPr>
          <w:p w14:paraId="2797C85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0.018</w:t>
            </w:r>
          </w:p>
        </w:tc>
        <w:tc>
          <w:tcPr>
            <w:tcW w:w="1019" w:type="dxa"/>
            <w:tcBorders>
              <w:top w:val="none" w:sz="0" w:space="0" w:color="000000"/>
              <w:left w:val="none" w:sz="0" w:space="0" w:color="000000"/>
              <w:bottom w:val="none" w:sz="0" w:space="0" w:color="000000"/>
              <w:right w:val="none" w:sz="0" w:space="0" w:color="000000"/>
            </w:tcBorders>
            <w:vAlign w:val="center"/>
          </w:tcPr>
          <w:p w14:paraId="04EC6DB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0.052</w:t>
            </w:r>
          </w:p>
        </w:tc>
        <w:tc>
          <w:tcPr>
            <w:tcW w:w="1034" w:type="dxa"/>
            <w:tcBorders>
              <w:top w:val="none" w:sz="0" w:space="0" w:color="000000"/>
              <w:left w:val="none" w:sz="0" w:space="0" w:color="000000"/>
              <w:bottom w:val="none" w:sz="0" w:space="0" w:color="000000"/>
              <w:right w:val="none" w:sz="0" w:space="0" w:color="000000"/>
            </w:tcBorders>
            <w:vAlign w:val="center"/>
          </w:tcPr>
          <w:p w14:paraId="7D3AF334" w14:textId="63B47060"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Lee 2021, Lee 2023</w:t>
            </w:r>
            <w:r w:rsidR="00791E18">
              <w:rPr>
                <w:rFonts w:ascii="Times New Roman" w:eastAsia="Times New Roman" w:hAnsi="Times New Roman" w:cs="Times New Roman" w:hint="eastAsia"/>
                <w:sz w:val="18"/>
              </w:rPr>
              <w:t>b</w:t>
            </w:r>
            <w:r w:rsidRPr="008E1CAD">
              <w:rPr>
                <w:rFonts w:ascii="Times New Roman" w:eastAsia="Times New Roman" w:hAnsi="Times New Roman" w:cs="Times New Roman"/>
                <w:sz w:val="18"/>
              </w:rPr>
              <w:t>, Yoroidaka 2023</w:t>
            </w:r>
          </w:p>
        </w:tc>
      </w:tr>
      <w:tr w:rsidR="00907E93" w:rsidRPr="008E1CAD" w14:paraId="2F90E216"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2B116FAE"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6F632C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Kd</w:t>
            </w:r>
          </w:p>
        </w:tc>
        <w:tc>
          <w:tcPr>
            <w:tcW w:w="1023" w:type="dxa"/>
            <w:tcBorders>
              <w:top w:val="none" w:sz="0" w:space="0" w:color="000000"/>
              <w:left w:val="none" w:sz="0" w:space="0" w:color="000000"/>
              <w:bottom w:val="none" w:sz="0" w:space="0" w:color="000000"/>
              <w:right w:val="none" w:sz="0" w:space="0" w:color="000000"/>
            </w:tcBorders>
            <w:vAlign w:val="center"/>
          </w:tcPr>
          <w:p w14:paraId="3E073B4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w:t>
            </w:r>
          </w:p>
        </w:tc>
        <w:tc>
          <w:tcPr>
            <w:tcW w:w="1023" w:type="dxa"/>
            <w:tcBorders>
              <w:top w:val="none" w:sz="0" w:space="0" w:color="000000"/>
              <w:left w:val="none" w:sz="0" w:space="0" w:color="000000"/>
              <w:bottom w:val="none" w:sz="0" w:space="0" w:color="000000"/>
              <w:right w:val="none" w:sz="0" w:space="0" w:color="000000"/>
            </w:tcBorders>
            <w:vAlign w:val="center"/>
          </w:tcPr>
          <w:p w14:paraId="367A396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176</w:t>
            </w:r>
          </w:p>
        </w:tc>
        <w:tc>
          <w:tcPr>
            <w:tcW w:w="1027" w:type="dxa"/>
            <w:tcBorders>
              <w:top w:val="none" w:sz="0" w:space="0" w:color="000000"/>
              <w:left w:val="none" w:sz="0" w:space="0" w:color="000000"/>
              <w:bottom w:val="none" w:sz="0" w:space="0" w:color="000000"/>
              <w:right w:val="none" w:sz="0" w:space="0" w:color="000000"/>
            </w:tcBorders>
            <w:vAlign w:val="center"/>
          </w:tcPr>
          <w:p w14:paraId="09FA2FF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0.084</w:t>
            </w:r>
          </w:p>
        </w:tc>
        <w:tc>
          <w:tcPr>
            <w:tcW w:w="1019" w:type="dxa"/>
            <w:tcBorders>
              <w:top w:val="none" w:sz="0" w:space="0" w:color="000000"/>
              <w:left w:val="none" w:sz="0" w:space="0" w:color="000000"/>
              <w:bottom w:val="none" w:sz="0" w:space="0" w:color="000000"/>
              <w:right w:val="none" w:sz="0" w:space="0" w:color="000000"/>
            </w:tcBorders>
            <w:vAlign w:val="center"/>
          </w:tcPr>
          <w:p w14:paraId="5E0EEBF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0.051</w:t>
            </w:r>
          </w:p>
        </w:tc>
        <w:tc>
          <w:tcPr>
            <w:tcW w:w="1019" w:type="dxa"/>
            <w:tcBorders>
              <w:top w:val="none" w:sz="0" w:space="0" w:color="000000"/>
              <w:left w:val="none" w:sz="0" w:space="0" w:color="000000"/>
              <w:bottom w:val="none" w:sz="0" w:space="0" w:color="000000"/>
              <w:right w:val="none" w:sz="0" w:space="0" w:color="000000"/>
            </w:tcBorders>
            <w:vAlign w:val="center"/>
          </w:tcPr>
          <w:p w14:paraId="7D808A9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0.135</w:t>
            </w:r>
          </w:p>
        </w:tc>
        <w:tc>
          <w:tcPr>
            <w:tcW w:w="1034" w:type="dxa"/>
            <w:tcBorders>
              <w:top w:val="none" w:sz="0" w:space="0" w:color="000000"/>
              <w:left w:val="none" w:sz="0" w:space="0" w:color="000000"/>
              <w:bottom w:val="none" w:sz="0" w:space="0" w:color="000000"/>
              <w:right w:val="none" w:sz="0" w:space="0" w:color="000000"/>
            </w:tcBorders>
            <w:vAlign w:val="center"/>
          </w:tcPr>
          <w:p w14:paraId="4751FE2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Abe 2024, Kawaji‐Kanayama 2022, Lee 2019</w:t>
            </w:r>
          </w:p>
        </w:tc>
      </w:tr>
      <w:tr w:rsidR="00907E93" w:rsidRPr="008E1CAD" w14:paraId="1E6A027C"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643E2262"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3EB9F2E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Rd</w:t>
            </w:r>
          </w:p>
        </w:tc>
        <w:tc>
          <w:tcPr>
            <w:tcW w:w="1023" w:type="dxa"/>
            <w:tcBorders>
              <w:top w:val="none" w:sz="0" w:space="0" w:color="000000"/>
              <w:left w:val="none" w:sz="0" w:space="0" w:color="000000"/>
              <w:bottom w:val="none" w:sz="0" w:space="0" w:color="000000"/>
              <w:right w:val="none" w:sz="0" w:space="0" w:color="000000"/>
            </w:tcBorders>
            <w:vAlign w:val="center"/>
          </w:tcPr>
          <w:p w14:paraId="7EA75D1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75AAC31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548</w:t>
            </w:r>
          </w:p>
        </w:tc>
        <w:tc>
          <w:tcPr>
            <w:tcW w:w="1027" w:type="dxa"/>
            <w:tcBorders>
              <w:top w:val="none" w:sz="0" w:space="0" w:color="000000"/>
              <w:left w:val="none" w:sz="0" w:space="0" w:color="000000"/>
              <w:bottom w:val="none" w:sz="0" w:space="0" w:color="000000"/>
              <w:right w:val="none" w:sz="0" w:space="0" w:color="000000"/>
            </w:tcBorders>
            <w:vAlign w:val="center"/>
          </w:tcPr>
          <w:p w14:paraId="330A7EA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0.060</w:t>
            </w:r>
          </w:p>
        </w:tc>
        <w:tc>
          <w:tcPr>
            <w:tcW w:w="1019" w:type="dxa"/>
            <w:tcBorders>
              <w:top w:val="none" w:sz="0" w:space="0" w:color="000000"/>
              <w:left w:val="none" w:sz="0" w:space="0" w:color="000000"/>
              <w:bottom w:val="none" w:sz="0" w:space="0" w:color="000000"/>
              <w:right w:val="none" w:sz="0" w:space="0" w:color="000000"/>
            </w:tcBorders>
            <w:vAlign w:val="center"/>
          </w:tcPr>
          <w:p w14:paraId="34A9A2E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0.043</w:t>
            </w:r>
          </w:p>
        </w:tc>
        <w:tc>
          <w:tcPr>
            <w:tcW w:w="1019" w:type="dxa"/>
            <w:tcBorders>
              <w:top w:val="none" w:sz="0" w:space="0" w:color="000000"/>
              <w:left w:val="none" w:sz="0" w:space="0" w:color="000000"/>
              <w:bottom w:val="none" w:sz="0" w:space="0" w:color="000000"/>
              <w:right w:val="none" w:sz="0" w:space="0" w:color="000000"/>
            </w:tcBorders>
            <w:vAlign w:val="center"/>
          </w:tcPr>
          <w:p w14:paraId="6ADBA11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0.083</w:t>
            </w:r>
          </w:p>
        </w:tc>
        <w:tc>
          <w:tcPr>
            <w:tcW w:w="1034" w:type="dxa"/>
            <w:tcBorders>
              <w:top w:val="none" w:sz="0" w:space="0" w:color="000000"/>
              <w:left w:val="none" w:sz="0" w:space="0" w:color="000000"/>
              <w:bottom w:val="none" w:sz="0" w:space="0" w:color="000000"/>
              <w:right w:val="none" w:sz="0" w:space="0" w:color="000000"/>
            </w:tcBorders>
            <w:vAlign w:val="center"/>
          </w:tcPr>
          <w:p w14:paraId="06C0683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Lee 2019</w:t>
            </w:r>
          </w:p>
        </w:tc>
      </w:tr>
      <w:tr w:rsidR="008E6781" w:rsidRPr="008E1CAD" w14:paraId="7472D9D9" w14:textId="77777777" w:rsidTr="00AA719D">
        <w:trPr>
          <w:jc w:val="center"/>
        </w:trPr>
        <w:tc>
          <w:tcPr>
            <w:tcW w:w="8300" w:type="dxa"/>
            <w:gridSpan w:val="8"/>
            <w:tcBorders>
              <w:top w:val="none" w:sz="0" w:space="0" w:color="000000"/>
              <w:left w:val="none" w:sz="0" w:space="0" w:color="000000"/>
              <w:bottom w:val="none" w:sz="0" w:space="0" w:color="000000"/>
              <w:right w:val="none" w:sz="0" w:space="0" w:color="000000"/>
            </w:tcBorders>
            <w:vAlign w:val="center"/>
          </w:tcPr>
          <w:p w14:paraId="5A2910B5" w14:textId="13A14F41" w:rsidR="008E6781" w:rsidRPr="008E1CAD" w:rsidRDefault="005B3087" w:rsidP="00427DBD">
            <w:pPr>
              <w:spacing w:before="40" w:after="40"/>
              <w:jc w:val="both"/>
              <w:rPr>
                <w:rFonts w:ascii="Times New Roman" w:hAnsi="Times New Roman" w:cs="Times New Roman"/>
              </w:rPr>
            </w:pPr>
            <w:r w:rsidRPr="008E1CAD">
              <w:rPr>
                <w:rFonts w:ascii="Times New Roman" w:eastAsia="Times New Roman" w:hAnsi="Times New Roman" w:cs="Times New Roman"/>
                <w:b/>
                <w:sz w:val="18"/>
              </w:rPr>
              <w:t>Monthly post-progression mortality risk</w:t>
            </w:r>
            <w:r w:rsidR="00EE10DB" w:rsidRPr="008E1CAD">
              <w:rPr>
                <w:rFonts w:ascii="Times New Roman" w:eastAsia="Times New Roman" w:hAnsi="Times New Roman" w:cs="Times New Roman"/>
                <w:b/>
                <w:sz w:val="18"/>
              </w:rPr>
              <w:t xml:space="preserve"> </w:t>
            </w:r>
          </w:p>
        </w:tc>
      </w:tr>
      <w:tr w:rsidR="00907E93" w:rsidRPr="008E1CAD" w14:paraId="10D9C424"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751C61D3"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CE1CF9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DRd</w:t>
            </w:r>
          </w:p>
        </w:tc>
        <w:tc>
          <w:tcPr>
            <w:tcW w:w="1023" w:type="dxa"/>
            <w:tcBorders>
              <w:top w:val="none" w:sz="0" w:space="0" w:color="000000"/>
              <w:left w:val="none" w:sz="0" w:space="0" w:color="000000"/>
              <w:bottom w:val="none" w:sz="0" w:space="0" w:color="000000"/>
              <w:right w:val="none" w:sz="0" w:space="0" w:color="000000"/>
            </w:tcBorders>
            <w:vAlign w:val="center"/>
          </w:tcPr>
          <w:p w14:paraId="5DE4C78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2CC6E4A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34</w:t>
            </w:r>
          </w:p>
        </w:tc>
        <w:tc>
          <w:tcPr>
            <w:tcW w:w="1027" w:type="dxa"/>
            <w:tcBorders>
              <w:top w:val="none" w:sz="0" w:space="0" w:color="000000"/>
              <w:left w:val="none" w:sz="0" w:space="0" w:color="000000"/>
              <w:bottom w:val="none" w:sz="0" w:space="0" w:color="000000"/>
              <w:right w:val="none" w:sz="0" w:space="0" w:color="000000"/>
            </w:tcBorders>
            <w:vAlign w:val="center"/>
          </w:tcPr>
          <w:p w14:paraId="653DA78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0.025</w:t>
            </w:r>
          </w:p>
        </w:tc>
        <w:tc>
          <w:tcPr>
            <w:tcW w:w="1019" w:type="dxa"/>
            <w:tcBorders>
              <w:top w:val="none" w:sz="0" w:space="0" w:color="000000"/>
              <w:left w:val="none" w:sz="0" w:space="0" w:color="000000"/>
              <w:bottom w:val="none" w:sz="0" w:space="0" w:color="000000"/>
              <w:right w:val="none" w:sz="0" w:space="0" w:color="000000"/>
            </w:tcBorders>
            <w:vAlign w:val="center"/>
          </w:tcPr>
          <w:p w14:paraId="0950412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019" w:type="dxa"/>
            <w:tcBorders>
              <w:top w:val="none" w:sz="0" w:space="0" w:color="000000"/>
              <w:left w:val="none" w:sz="0" w:space="0" w:color="000000"/>
              <w:bottom w:val="none" w:sz="0" w:space="0" w:color="000000"/>
              <w:right w:val="none" w:sz="0" w:space="0" w:color="000000"/>
            </w:tcBorders>
            <w:vAlign w:val="center"/>
          </w:tcPr>
          <w:p w14:paraId="66E14D7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034" w:type="dxa"/>
            <w:tcBorders>
              <w:top w:val="none" w:sz="0" w:space="0" w:color="000000"/>
              <w:left w:val="none" w:sz="0" w:space="0" w:color="000000"/>
              <w:bottom w:val="none" w:sz="0" w:space="0" w:color="000000"/>
              <w:right w:val="none" w:sz="0" w:space="0" w:color="000000"/>
            </w:tcBorders>
            <w:vAlign w:val="center"/>
          </w:tcPr>
          <w:p w14:paraId="6C659A35" w14:textId="766B0CE8"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Liu</w:t>
            </w:r>
            <w:r w:rsidRPr="008E1CAD">
              <w:rPr>
                <w:rFonts w:ascii="Times New Roman" w:eastAsia="Times New Roman" w:hAnsi="Times New Roman" w:cs="Times New Roman"/>
                <w:sz w:val="18"/>
              </w:rPr>
              <w:t xml:space="preserve"> 2021</w:t>
            </w:r>
            <w:r w:rsidR="00BC77CA" w:rsidRPr="008E1CAD">
              <w:rPr>
                <w:rFonts w:ascii="Times New Roman" w:eastAsia="Times New Roman" w:hAnsi="Times New Roman" w:cs="Times New Roman"/>
                <w:sz w:val="18"/>
              </w:rPr>
              <w:t>a</w:t>
            </w:r>
          </w:p>
        </w:tc>
      </w:tr>
      <w:tr w:rsidR="00907E93" w:rsidRPr="008E1CAD" w14:paraId="3DCFE3E2"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0D464750"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C2A7E4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DPd</w:t>
            </w:r>
          </w:p>
        </w:tc>
        <w:tc>
          <w:tcPr>
            <w:tcW w:w="1023" w:type="dxa"/>
            <w:tcBorders>
              <w:top w:val="none" w:sz="0" w:space="0" w:color="000000"/>
              <w:left w:val="none" w:sz="0" w:space="0" w:color="000000"/>
              <w:bottom w:val="none" w:sz="0" w:space="0" w:color="000000"/>
              <w:right w:val="none" w:sz="0" w:space="0" w:color="000000"/>
            </w:tcBorders>
            <w:vAlign w:val="center"/>
          </w:tcPr>
          <w:p w14:paraId="653C8A0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w:t>
            </w:r>
          </w:p>
        </w:tc>
        <w:tc>
          <w:tcPr>
            <w:tcW w:w="1023" w:type="dxa"/>
            <w:tcBorders>
              <w:top w:val="none" w:sz="0" w:space="0" w:color="000000"/>
              <w:left w:val="none" w:sz="0" w:space="0" w:color="000000"/>
              <w:bottom w:val="none" w:sz="0" w:space="0" w:color="000000"/>
              <w:right w:val="none" w:sz="0" w:space="0" w:color="000000"/>
            </w:tcBorders>
            <w:vAlign w:val="center"/>
          </w:tcPr>
          <w:p w14:paraId="5E87BC2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34</w:t>
            </w:r>
          </w:p>
        </w:tc>
        <w:tc>
          <w:tcPr>
            <w:tcW w:w="1027" w:type="dxa"/>
            <w:tcBorders>
              <w:top w:val="none" w:sz="0" w:space="0" w:color="000000"/>
              <w:left w:val="none" w:sz="0" w:space="0" w:color="000000"/>
              <w:bottom w:val="none" w:sz="0" w:space="0" w:color="000000"/>
              <w:right w:val="none" w:sz="0" w:space="0" w:color="000000"/>
            </w:tcBorders>
            <w:vAlign w:val="center"/>
          </w:tcPr>
          <w:p w14:paraId="184B0CC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0.019</w:t>
            </w:r>
          </w:p>
        </w:tc>
        <w:tc>
          <w:tcPr>
            <w:tcW w:w="1019" w:type="dxa"/>
            <w:tcBorders>
              <w:top w:val="none" w:sz="0" w:space="0" w:color="000000"/>
              <w:left w:val="none" w:sz="0" w:space="0" w:color="000000"/>
              <w:bottom w:val="none" w:sz="0" w:space="0" w:color="000000"/>
              <w:right w:val="none" w:sz="0" w:space="0" w:color="000000"/>
            </w:tcBorders>
            <w:vAlign w:val="center"/>
          </w:tcPr>
          <w:p w14:paraId="1236D10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0.002</w:t>
            </w:r>
          </w:p>
        </w:tc>
        <w:tc>
          <w:tcPr>
            <w:tcW w:w="1019" w:type="dxa"/>
            <w:tcBorders>
              <w:top w:val="none" w:sz="0" w:space="0" w:color="000000"/>
              <w:left w:val="none" w:sz="0" w:space="0" w:color="000000"/>
              <w:bottom w:val="none" w:sz="0" w:space="0" w:color="000000"/>
              <w:right w:val="none" w:sz="0" w:space="0" w:color="000000"/>
            </w:tcBorders>
            <w:vAlign w:val="center"/>
          </w:tcPr>
          <w:p w14:paraId="5BFD574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0.185</w:t>
            </w:r>
          </w:p>
        </w:tc>
        <w:tc>
          <w:tcPr>
            <w:tcW w:w="1034" w:type="dxa"/>
            <w:tcBorders>
              <w:top w:val="none" w:sz="0" w:space="0" w:color="000000"/>
              <w:left w:val="none" w:sz="0" w:space="0" w:color="000000"/>
              <w:bottom w:val="none" w:sz="0" w:space="0" w:color="000000"/>
              <w:right w:val="none" w:sz="0" w:space="0" w:color="000000"/>
            </w:tcBorders>
            <w:vAlign w:val="center"/>
          </w:tcPr>
          <w:p w14:paraId="210AFE70" w14:textId="1E56D6EE"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 xml:space="preserve">Han 2024, </w:t>
            </w:r>
            <w:r w:rsidR="00A96384" w:rsidRPr="008E1CAD">
              <w:rPr>
                <w:rFonts w:ascii="Times New Roman" w:hAnsi="Times New Roman" w:cs="Times New Roman"/>
                <w:sz w:val="18"/>
              </w:rPr>
              <w:t xml:space="preserve">Lu </w:t>
            </w:r>
            <w:r w:rsidR="00A96384" w:rsidRPr="008E1CAD">
              <w:rPr>
                <w:rFonts w:ascii="Times New Roman" w:eastAsia="Times New Roman" w:hAnsi="Times New Roman" w:cs="Times New Roman"/>
                <w:sz w:val="18"/>
              </w:rPr>
              <w:t>2023</w:t>
            </w:r>
          </w:p>
        </w:tc>
      </w:tr>
      <w:tr w:rsidR="00907E93" w:rsidRPr="008E1CAD" w14:paraId="0C994147"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6B661CBB"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476924A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Dd</w:t>
            </w:r>
          </w:p>
        </w:tc>
        <w:tc>
          <w:tcPr>
            <w:tcW w:w="1023" w:type="dxa"/>
            <w:tcBorders>
              <w:top w:val="none" w:sz="0" w:space="0" w:color="000000"/>
              <w:left w:val="none" w:sz="0" w:space="0" w:color="000000"/>
              <w:bottom w:val="none" w:sz="0" w:space="0" w:color="000000"/>
              <w:right w:val="none" w:sz="0" w:space="0" w:color="000000"/>
            </w:tcBorders>
            <w:vAlign w:val="center"/>
          </w:tcPr>
          <w:p w14:paraId="27AFD1B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1F0E2CE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w:t>
            </w:r>
          </w:p>
        </w:tc>
        <w:tc>
          <w:tcPr>
            <w:tcW w:w="1027" w:type="dxa"/>
            <w:tcBorders>
              <w:top w:val="none" w:sz="0" w:space="0" w:color="000000"/>
              <w:left w:val="none" w:sz="0" w:space="0" w:color="000000"/>
              <w:bottom w:val="none" w:sz="0" w:space="0" w:color="000000"/>
              <w:right w:val="none" w:sz="0" w:space="0" w:color="000000"/>
            </w:tcBorders>
            <w:vAlign w:val="center"/>
          </w:tcPr>
          <w:p w14:paraId="7DDD93A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0.195</w:t>
            </w:r>
          </w:p>
        </w:tc>
        <w:tc>
          <w:tcPr>
            <w:tcW w:w="1019" w:type="dxa"/>
            <w:tcBorders>
              <w:top w:val="none" w:sz="0" w:space="0" w:color="000000"/>
              <w:left w:val="none" w:sz="0" w:space="0" w:color="000000"/>
              <w:bottom w:val="none" w:sz="0" w:space="0" w:color="000000"/>
              <w:right w:val="none" w:sz="0" w:space="0" w:color="000000"/>
            </w:tcBorders>
            <w:vAlign w:val="center"/>
          </w:tcPr>
          <w:p w14:paraId="3877340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019" w:type="dxa"/>
            <w:tcBorders>
              <w:top w:val="none" w:sz="0" w:space="0" w:color="000000"/>
              <w:left w:val="none" w:sz="0" w:space="0" w:color="000000"/>
              <w:bottom w:val="none" w:sz="0" w:space="0" w:color="000000"/>
              <w:right w:val="none" w:sz="0" w:space="0" w:color="000000"/>
            </w:tcBorders>
            <w:vAlign w:val="center"/>
          </w:tcPr>
          <w:p w14:paraId="5014DF9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034" w:type="dxa"/>
            <w:tcBorders>
              <w:top w:val="none" w:sz="0" w:space="0" w:color="000000"/>
              <w:left w:val="none" w:sz="0" w:space="0" w:color="000000"/>
              <w:bottom w:val="none" w:sz="0" w:space="0" w:color="000000"/>
              <w:right w:val="none" w:sz="0" w:space="0" w:color="000000"/>
            </w:tcBorders>
            <w:vAlign w:val="center"/>
          </w:tcPr>
          <w:p w14:paraId="4BD384C4" w14:textId="03DB1121"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Liu</w:t>
            </w:r>
            <w:r w:rsidRPr="008E1CAD">
              <w:rPr>
                <w:rFonts w:ascii="Times New Roman" w:eastAsia="Times New Roman" w:hAnsi="Times New Roman" w:cs="Times New Roman"/>
                <w:sz w:val="18"/>
              </w:rPr>
              <w:t xml:space="preserve"> 2021</w:t>
            </w:r>
            <w:r w:rsidR="00BC77CA" w:rsidRPr="008E1CAD">
              <w:rPr>
                <w:rFonts w:ascii="Times New Roman" w:eastAsia="Times New Roman" w:hAnsi="Times New Roman" w:cs="Times New Roman"/>
                <w:sz w:val="18"/>
              </w:rPr>
              <w:t>a</w:t>
            </w:r>
          </w:p>
        </w:tc>
      </w:tr>
      <w:tr w:rsidR="00907E93" w:rsidRPr="008E1CAD" w14:paraId="07AD8679"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6E69EDBF"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70D2B7F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Dara Mono</w:t>
            </w:r>
          </w:p>
        </w:tc>
        <w:tc>
          <w:tcPr>
            <w:tcW w:w="1023" w:type="dxa"/>
            <w:tcBorders>
              <w:top w:val="none" w:sz="0" w:space="0" w:color="000000"/>
              <w:left w:val="none" w:sz="0" w:space="0" w:color="000000"/>
              <w:bottom w:val="none" w:sz="0" w:space="0" w:color="000000"/>
              <w:right w:val="none" w:sz="0" w:space="0" w:color="000000"/>
            </w:tcBorders>
            <w:vAlign w:val="center"/>
          </w:tcPr>
          <w:p w14:paraId="5EE94BA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3707874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w:t>
            </w:r>
          </w:p>
        </w:tc>
        <w:tc>
          <w:tcPr>
            <w:tcW w:w="1027" w:type="dxa"/>
            <w:tcBorders>
              <w:top w:val="none" w:sz="0" w:space="0" w:color="000000"/>
              <w:left w:val="none" w:sz="0" w:space="0" w:color="000000"/>
              <w:bottom w:val="none" w:sz="0" w:space="0" w:color="000000"/>
              <w:right w:val="none" w:sz="0" w:space="0" w:color="000000"/>
            </w:tcBorders>
            <w:vAlign w:val="center"/>
          </w:tcPr>
          <w:p w14:paraId="36DC96B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0.045</w:t>
            </w:r>
          </w:p>
        </w:tc>
        <w:tc>
          <w:tcPr>
            <w:tcW w:w="1019" w:type="dxa"/>
            <w:tcBorders>
              <w:top w:val="none" w:sz="0" w:space="0" w:color="000000"/>
              <w:left w:val="none" w:sz="0" w:space="0" w:color="000000"/>
              <w:bottom w:val="none" w:sz="0" w:space="0" w:color="000000"/>
              <w:right w:val="none" w:sz="0" w:space="0" w:color="000000"/>
            </w:tcBorders>
            <w:vAlign w:val="center"/>
          </w:tcPr>
          <w:p w14:paraId="478DC21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0.012</w:t>
            </w:r>
          </w:p>
        </w:tc>
        <w:tc>
          <w:tcPr>
            <w:tcW w:w="1019" w:type="dxa"/>
            <w:tcBorders>
              <w:top w:val="none" w:sz="0" w:space="0" w:color="000000"/>
              <w:left w:val="none" w:sz="0" w:space="0" w:color="000000"/>
              <w:bottom w:val="none" w:sz="0" w:space="0" w:color="000000"/>
              <w:right w:val="none" w:sz="0" w:space="0" w:color="000000"/>
            </w:tcBorders>
            <w:vAlign w:val="center"/>
          </w:tcPr>
          <w:p w14:paraId="245CCD1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0.152</w:t>
            </w:r>
          </w:p>
        </w:tc>
        <w:tc>
          <w:tcPr>
            <w:tcW w:w="1034" w:type="dxa"/>
            <w:tcBorders>
              <w:top w:val="none" w:sz="0" w:space="0" w:color="000000"/>
              <w:left w:val="none" w:sz="0" w:space="0" w:color="000000"/>
              <w:bottom w:val="none" w:sz="0" w:space="0" w:color="000000"/>
              <w:right w:val="none" w:sz="0" w:space="0" w:color="000000"/>
            </w:tcBorders>
            <w:vAlign w:val="center"/>
          </w:tcPr>
          <w:p w14:paraId="1735D80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Cho 2023</w:t>
            </w:r>
          </w:p>
        </w:tc>
      </w:tr>
      <w:tr w:rsidR="00907E93" w:rsidRPr="008E1CAD" w14:paraId="77DDECDE"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270C8216"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25E74D5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VPd</w:t>
            </w:r>
          </w:p>
        </w:tc>
        <w:tc>
          <w:tcPr>
            <w:tcW w:w="1023" w:type="dxa"/>
            <w:tcBorders>
              <w:top w:val="none" w:sz="0" w:space="0" w:color="000000"/>
              <w:left w:val="none" w:sz="0" w:space="0" w:color="000000"/>
              <w:bottom w:val="none" w:sz="0" w:space="0" w:color="000000"/>
              <w:right w:val="none" w:sz="0" w:space="0" w:color="000000"/>
            </w:tcBorders>
            <w:vAlign w:val="center"/>
          </w:tcPr>
          <w:p w14:paraId="358E3FF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w:t>
            </w:r>
          </w:p>
        </w:tc>
        <w:tc>
          <w:tcPr>
            <w:tcW w:w="1023" w:type="dxa"/>
            <w:tcBorders>
              <w:top w:val="none" w:sz="0" w:space="0" w:color="000000"/>
              <w:left w:val="none" w:sz="0" w:space="0" w:color="000000"/>
              <w:bottom w:val="none" w:sz="0" w:space="0" w:color="000000"/>
              <w:right w:val="none" w:sz="0" w:space="0" w:color="000000"/>
            </w:tcBorders>
            <w:vAlign w:val="center"/>
          </w:tcPr>
          <w:p w14:paraId="2D39E11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78</w:t>
            </w:r>
          </w:p>
        </w:tc>
        <w:tc>
          <w:tcPr>
            <w:tcW w:w="1027" w:type="dxa"/>
            <w:tcBorders>
              <w:top w:val="none" w:sz="0" w:space="0" w:color="000000"/>
              <w:left w:val="none" w:sz="0" w:space="0" w:color="000000"/>
              <w:bottom w:val="none" w:sz="0" w:space="0" w:color="000000"/>
              <w:right w:val="none" w:sz="0" w:space="0" w:color="000000"/>
            </w:tcBorders>
            <w:vAlign w:val="center"/>
          </w:tcPr>
          <w:p w14:paraId="207E20A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0.105</w:t>
            </w:r>
          </w:p>
        </w:tc>
        <w:tc>
          <w:tcPr>
            <w:tcW w:w="1019" w:type="dxa"/>
            <w:tcBorders>
              <w:top w:val="none" w:sz="0" w:space="0" w:color="000000"/>
              <w:left w:val="none" w:sz="0" w:space="0" w:color="000000"/>
              <w:bottom w:val="none" w:sz="0" w:space="0" w:color="000000"/>
              <w:right w:val="none" w:sz="0" w:space="0" w:color="000000"/>
            </w:tcBorders>
            <w:vAlign w:val="center"/>
          </w:tcPr>
          <w:p w14:paraId="21B8727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0.054</w:t>
            </w:r>
          </w:p>
        </w:tc>
        <w:tc>
          <w:tcPr>
            <w:tcW w:w="1019" w:type="dxa"/>
            <w:tcBorders>
              <w:top w:val="none" w:sz="0" w:space="0" w:color="000000"/>
              <w:left w:val="none" w:sz="0" w:space="0" w:color="000000"/>
              <w:bottom w:val="none" w:sz="0" w:space="0" w:color="000000"/>
              <w:right w:val="none" w:sz="0" w:space="0" w:color="000000"/>
            </w:tcBorders>
            <w:vAlign w:val="center"/>
          </w:tcPr>
          <w:p w14:paraId="3C0B8B4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0.195</w:t>
            </w:r>
          </w:p>
        </w:tc>
        <w:tc>
          <w:tcPr>
            <w:tcW w:w="1034" w:type="dxa"/>
            <w:tcBorders>
              <w:top w:val="none" w:sz="0" w:space="0" w:color="000000"/>
              <w:left w:val="none" w:sz="0" w:space="0" w:color="000000"/>
              <w:bottom w:val="none" w:sz="0" w:space="0" w:color="000000"/>
              <w:right w:val="none" w:sz="0" w:space="0" w:color="000000"/>
            </w:tcBorders>
            <w:vAlign w:val="center"/>
          </w:tcPr>
          <w:p w14:paraId="21EC0DE6" w14:textId="5A53EADB"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 xml:space="preserve">Lu </w:t>
            </w:r>
            <w:r w:rsidRPr="008E1CAD">
              <w:rPr>
                <w:rFonts w:ascii="Times New Roman" w:eastAsia="Times New Roman" w:hAnsi="Times New Roman" w:cs="Times New Roman"/>
                <w:sz w:val="18"/>
              </w:rPr>
              <w:t>2023, Wang 2023</w:t>
            </w:r>
            <w:r w:rsidR="00791E18">
              <w:rPr>
                <w:rFonts w:ascii="Times New Roman" w:eastAsia="Times New Roman" w:hAnsi="Times New Roman" w:cs="Times New Roman" w:hint="eastAsia"/>
                <w:sz w:val="18"/>
              </w:rPr>
              <w:t>a</w:t>
            </w:r>
          </w:p>
        </w:tc>
      </w:tr>
      <w:tr w:rsidR="00907E93" w:rsidRPr="008E1CAD" w14:paraId="1683ACAF"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17D50952"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62D34E4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VCd</w:t>
            </w:r>
          </w:p>
        </w:tc>
        <w:tc>
          <w:tcPr>
            <w:tcW w:w="1023" w:type="dxa"/>
            <w:tcBorders>
              <w:top w:val="none" w:sz="0" w:space="0" w:color="000000"/>
              <w:left w:val="none" w:sz="0" w:space="0" w:color="000000"/>
              <w:bottom w:val="none" w:sz="0" w:space="0" w:color="000000"/>
              <w:right w:val="none" w:sz="0" w:space="0" w:color="000000"/>
            </w:tcBorders>
            <w:vAlign w:val="center"/>
          </w:tcPr>
          <w:p w14:paraId="5F6DE7A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165DF6C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w:t>
            </w:r>
          </w:p>
        </w:tc>
        <w:tc>
          <w:tcPr>
            <w:tcW w:w="1027" w:type="dxa"/>
            <w:tcBorders>
              <w:top w:val="none" w:sz="0" w:space="0" w:color="000000"/>
              <w:left w:val="none" w:sz="0" w:space="0" w:color="000000"/>
              <w:bottom w:val="none" w:sz="0" w:space="0" w:color="000000"/>
              <w:right w:val="none" w:sz="0" w:space="0" w:color="000000"/>
            </w:tcBorders>
            <w:vAlign w:val="center"/>
          </w:tcPr>
          <w:p w14:paraId="2DD0C75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0.028</w:t>
            </w:r>
          </w:p>
        </w:tc>
        <w:tc>
          <w:tcPr>
            <w:tcW w:w="1019" w:type="dxa"/>
            <w:tcBorders>
              <w:top w:val="none" w:sz="0" w:space="0" w:color="000000"/>
              <w:left w:val="none" w:sz="0" w:space="0" w:color="000000"/>
              <w:bottom w:val="none" w:sz="0" w:space="0" w:color="000000"/>
              <w:right w:val="none" w:sz="0" w:space="0" w:color="000000"/>
            </w:tcBorders>
            <w:vAlign w:val="center"/>
          </w:tcPr>
          <w:p w14:paraId="3D7D5F4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0.001</w:t>
            </w:r>
          </w:p>
        </w:tc>
        <w:tc>
          <w:tcPr>
            <w:tcW w:w="1019" w:type="dxa"/>
            <w:tcBorders>
              <w:top w:val="none" w:sz="0" w:space="0" w:color="000000"/>
              <w:left w:val="none" w:sz="0" w:space="0" w:color="000000"/>
              <w:bottom w:val="none" w:sz="0" w:space="0" w:color="000000"/>
              <w:right w:val="none" w:sz="0" w:space="0" w:color="000000"/>
            </w:tcBorders>
            <w:vAlign w:val="center"/>
          </w:tcPr>
          <w:p w14:paraId="0DBC0EF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0.506</w:t>
            </w:r>
          </w:p>
        </w:tc>
        <w:tc>
          <w:tcPr>
            <w:tcW w:w="1034" w:type="dxa"/>
            <w:tcBorders>
              <w:top w:val="none" w:sz="0" w:space="0" w:color="000000"/>
              <w:left w:val="none" w:sz="0" w:space="0" w:color="000000"/>
              <w:bottom w:val="none" w:sz="0" w:space="0" w:color="000000"/>
              <w:right w:val="none" w:sz="0" w:space="0" w:color="000000"/>
            </w:tcBorders>
            <w:vAlign w:val="center"/>
          </w:tcPr>
          <w:p w14:paraId="0297D99A" w14:textId="11EAC644" w:rsidR="00907E93" w:rsidRPr="008E1CAD" w:rsidRDefault="00A96384" w:rsidP="00365058">
            <w:pPr>
              <w:spacing w:before="40" w:after="40"/>
              <w:jc w:val="center"/>
              <w:rPr>
                <w:rFonts w:ascii="Times New Roman" w:hAnsi="Times New Roman" w:cs="Times New Roman"/>
              </w:rPr>
            </w:pPr>
            <w:r w:rsidRPr="008E1CAD">
              <w:rPr>
                <w:rFonts w:ascii="Times New Roman" w:hAnsi="Times New Roman" w:cs="Times New Roman"/>
                <w:sz w:val="18"/>
              </w:rPr>
              <w:t>Han</w:t>
            </w:r>
            <w:r w:rsidRPr="008E1CAD">
              <w:rPr>
                <w:rFonts w:ascii="Times New Roman" w:eastAsia="Times New Roman" w:hAnsi="Times New Roman" w:cs="Times New Roman"/>
                <w:sz w:val="18"/>
              </w:rPr>
              <w:t xml:space="preserve"> 2019</w:t>
            </w:r>
          </w:p>
        </w:tc>
      </w:tr>
      <w:tr w:rsidR="00907E93" w:rsidRPr="008E1CAD" w14:paraId="3E48F1DC"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548470D8"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77E9F2F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Pd</w:t>
            </w:r>
          </w:p>
        </w:tc>
        <w:tc>
          <w:tcPr>
            <w:tcW w:w="1023" w:type="dxa"/>
            <w:tcBorders>
              <w:top w:val="none" w:sz="0" w:space="0" w:color="000000"/>
              <w:left w:val="none" w:sz="0" w:space="0" w:color="000000"/>
              <w:bottom w:val="none" w:sz="0" w:space="0" w:color="000000"/>
              <w:right w:val="none" w:sz="0" w:space="0" w:color="000000"/>
            </w:tcBorders>
            <w:vAlign w:val="center"/>
          </w:tcPr>
          <w:p w14:paraId="651A1E0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35FE026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108</w:t>
            </w:r>
          </w:p>
        </w:tc>
        <w:tc>
          <w:tcPr>
            <w:tcW w:w="1027" w:type="dxa"/>
            <w:tcBorders>
              <w:top w:val="none" w:sz="0" w:space="0" w:color="000000"/>
              <w:left w:val="none" w:sz="0" w:space="0" w:color="000000"/>
              <w:bottom w:val="none" w:sz="0" w:space="0" w:color="000000"/>
              <w:right w:val="none" w:sz="0" w:space="0" w:color="000000"/>
            </w:tcBorders>
            <w:vAlign w:val="center"/>
          </w:tcPr>
          <w:p w14:paraId="6CADF9E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0.124</w:t>
            </w:r>
          </w:p>
        </w:tc>
        <w:tc>
          <w:tcPr>
            <w:tcW w:w="1019" w:type="dxa"/>
            <w:tcBorders>
              <w:top w:val="none" w:sz="0" w:space="0" w:color="000000"/>
              <w:left w:val="none" w:sz="0" w:space="0" w:color="000000"/>
              <w:bottom w:val="none" w:sz="0" w:space="0" w:color="000000"/>
              <w:right w:val="none" w:sz="0" w:space="0" w:color="000000"/>
            </w:tcBorders>
            <w:vAlign w:val="center"/>
          </w:tcPr>
          <w:p w14:paraId="695A369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0.074</w:t>
            </w:r>
          </w:p>
        </w:tc>
        <w:tc>
          <w:tcPr>
            <w:tcW w:w="1019" w:type="dxa"/>
            <w:tcBorders>
              <w:top w:val="none" w:sz="0" w:space="0" w:color="000000"/>
              <w:left w:val="none" w:sz="0" w:space="0" w:color="000000"/>
              <w:bottom w:val="none" w:sz="0" w:space="0" w:color="000000"/>
              <w:right w:val="none" w:sz="0" w:space="0" w:color="000000"/>
            </w:tcBorders>
            <w:vAlign w:val="center"/>
          </w:tcPr>
          <w:p w14:paraId="44ED26E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0.201</w:t>
            </w:r>
          </w:p>
        </w:tc>
        <w:tc>
          <w:tcPr>
            <w:tcW w:w="1034" w:type="dxa"/>
            <w:tcBorders>
              <w:top w:val="none" w:sz="0" w:space="0" w:color="000000"/>
              <w:left w:val="none" w:sz="0" w:space="0" w:color="000000"/>
              <w:bottom w:val="none" w:sz="0" w:space="0" w:color="000000"/>
              <w:right w:val="none" w:sz="0" w:space="0" w:color="000000"/>
            </w:tcBorders>
            <w:vAlign w:val="center"/>
          </w:tcPr>
          <w:p w14:paraId="58FB5DC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Lee 2019</w:t>
            </w:r>
          </w:p>
        </w:tc>
      </w:tr>
      <w:tr w:rsidR="00907E93" w:rsidRPr="008E1CAD" w14:paraId="35C383C2"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0F734D9B"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5574EE2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KRd</w:t>
            </w:r>
          </w:p>
        </w:tc>
        <w:tc>
          <w:tcPr>
            <w:tcW w:w="1023" w:type="dxa"/>
            <w:tcBorders>
              <w:top w:val="none" w:sz="0" w:space="0" w:color="000000"/>
              <w:left w:val="none" w:sz="0" w:space="0" w:color="000000"/>
              <w:bottom w:val="none" w:sz="0" w:space="0" w:color="000000"/>
              <w:right w:val="none" w:sz="0" w:space="0" w:color="000000"/>
            </w:tcBorders>
            <w:vAlign w:val="center"/>
          </w:tcPr>
          <w:p w14:paraId="01E0320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none" w:sz="0" w:space="0" w:color="000000"/>
              <w:right w:val="none" w:sz="0" w:space="0" w:color="000000"/>
            </w:tcBorders>
            <w:vAlign w:val="center"/>
          </w:tcPr>
          <w:p w14:paraId="10EBAEF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55</w:t>
            </w:r>
          </w:p>
        </w:tc>
        <w:tc>
          <w:tcPr>
            <w:tcW w:w="1027" w:type="dxa"/>
            <w:tcBorders>
              <w:top w:val="none" w:sz="0" w:space="0" w:color="000000"/>
              <w:left w:val="none" w:sz="0" w:space="0" w:color="000000"/>
              <w:bottom w:val="none" w:sz="0" w:space="0" w:color="000000"/>
              <w:right w:val="none" w:sz="0" w:space="0" w:color="000000"/>
            </w:tcBorders>
            <w:vAlign w:val="center"/>
          </w:tcPr>
          <w:p w14:paraId="3CA4796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0.052</w:t>
            </w:r>
          </w:p>
        </w:tc>
        <w:tc>
          <w:tcPr>
            <w:tcW w:w="1019" w:type="dxa"/>
            <w:tcBorders>
              <w:top w:val="none" w:sz="0" w:space="0" w:color="000000"/>
              <w:left w:val="none" w:sz="0" w:space="0" w:color="000000"/>
              <w:bottom w:val="none" w:sz="0" w:space="0" w:color="000000"/>
              <w:right w:val="none" w:sz="0" w:space="0" w:color="000000"/>
            </w:tcBorders>
            <w:vAlign w:val="center"/>
          </w:tcPr>
          <w:p w14:paraId="0CD220F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0.016</w:t>
            </w:r>
          </w:p>
        </w:tc>
        <w:tc>
          <w:tcPr>
            <w:tcW w:w="1019" w:type="dxa"/>
            <w:tcBorders>
              <w:top w:val="none" w:sz="0" w:space="0" w:color="000000"/>
              <w:left w:val="none" w:sz="0" w:space="0" w:color="000000"/>
              <w:bottom w:val="none" w:sz="0" w:space="0" w:color="000000"/>
              <w:right w:val="none" w:sz="0" w:space="0" w:color="000000"/>
            </w:tcBorders>
            <w:vAlign w:val="center"/>
          </w:tcPr>
          <w:p w14:paraId="74474E3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0.152</w:t>
            </w:r>
          </w:p>
        </w:tc>
        <w:tc>
          <w:tcPr>
            <w:tcW w:w="1034" w:type="dxa"/>
            <w:tcBorders>
              <w:top w:val="none" w:sz="0" w:space="0" w:color="000000"/>
              <w:left w:val="none" w:sz="0" w:space="0" w:color="000000"/>
              <w:bottom w:val="none" w:sz="0" w:space="0" w:color="000000"/>
              <w:right w:val="none" w:sz="0" w:space="0" w:color="000000"/>
            </w:tcBorders>
            <w:vAlign w:val="center"/>
          </w:tcPr>
          <w:p w14:paraId="6E906D7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Lee 2021</w:t>
            </w:r>
          </w:p>
        </w:tc>
      </w:tr>
      <w:tr w:rsidR="00907E93" w:rsidRPr="008E1CAD" w14:paraId="0548B099" w14:textId="77777777" w:rsidTr="00AA719D">
        <w:trPr>
          <w:jc w:val="center"/>
        </w:trPr>
        <w:tc>
          <w:tcPr>
            <w:tcW w:w="1126" w:type="dxa"/>
            <w:tcBorders>
              <w:top w:val="none" w:sz="0" w:space="0" w:color="000000"/>
              <w:left w:val="none" w:sz="0" w:space="0" w:color="000000"/>
              <w:bottom w:val="none" w:sz="0" w:space="0" w:color="000000"/>
              <w:right w:val="none" w:sz="0" w:space="0" w:color="000000"/>
            </w:tcBorders>
            <w:vAlign w:val="center"/>
          </w:tcPr>
          <w:p w14:paraId="28A27F1F"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none" w:sz="0" w:space="0" w:color="000000"/>
              <w:right w:val="none" w:sz="0" w:space="0" w:color="000000"/>
            </w:tcBorders>
            <w:vAlign w:val="center"/>
          </w:tcPr>
          <w:p w14:paraId="7CF3935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Kd</w:t>
            </w:r>
          </w:p>
        </w:tc>
        <w:tc>
          <w:tcPr>
            <w:tcW w:w="1023" w:type="dxa"/>
            <w:tcBorders>
              <w:top w:val="none" w:sz="0" w:space="0" w:color="000000"/>
              <w:left w:val="none" w:sz="0" w:space="0" w:color="000000"/>
              <w:bottom w:val="none" w:sz="0" w:space="0" w:color="000000"/>
              <w:right w:val="none" w:sz="0" w:space="0" w:color="000000"/>
            </w:tcBorders>
            <w:vAlign w:val="center"/>
          </w:tcPr>
          <w:p w14:paraId="27684A9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w:t>
            </w:r>
          </w:p>
        </w:tc>
        <w:tc>
          <w:tcPr>
            <w:tcW w:w="1023" w:type="dxa"/>
            <w:tcBorders>
              <w:top w:val="none" w:sz="0" w:space="0" w:color="000000"/>
              <w:left w:val="none" w:sz="0" w:space="0" w:color="000000"/>
              <w:bottom w:val="none" w:sz="0" w:space="0" w:color="000000"/>
              <w:right w:val="none" w:sz="0" w:space="0" w:color="000000"/>
            </w:tcBorders>
            <w:vAlign w:val="center"/>
          </w:tcPr>
          <w:p w14:paraId="670288E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176</w:t>
            </w:r>
          </w:p>
        </w:tc>
        <w:tc>
          <w:tcPr>
            <w:tcW w:w="1027" w:type="dxa"/>
            <w:tcBorders>
              <w:top w:val="none" w:sz="0" w:space="0" w:color="000000"/>
              <w:left w:val="none" w:sz="0" w:space="0" w:color="000000"/>
              <w:bottom w:val="none" w:sz="0" w:space="0" w:color="000000"/>
              <w:right w:val="none" w:sz="0" w:space="0" w:color="000000"/>
            </w:tcBorders>
            <w:vAlign w:val="center"/>
          </w:tcPr>
          <w:p w14:paraId="674ADE0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0.043</w:t>
            </w:r>
          </w:p>
        </w:tc>
        <w:tc>
          <w:tcPr>
            <w:tcW w:w="1019" w:type="dxa"/>
            <w:tcBorders>
              <w:top w:val="none" w:sz="0" w:space="0" w:color="000000"/>
              <w:left w:val="none" w:sz="0" w:space="0" w:color="000000"/>
              <w:bottom w:val="none" w:sz="0" w:space="0" w:color="000000"/>
              <w:right w:val="none" w:sz="0" w:space="0" w:color="000000"/>
            </w:tcBorders>
            <w:vAlign w:val="center"/>
          </w:tcPr>
          <w:p w14:paraId="3E34CA2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0.016</w:t>
            </w:r>
          </w:p>
        </w:tc>
        <w:tc>
          <w:tcPr>
            <w:tcW w:w="1019" w:type="dxa"/>
            <w:tcBorders>
              <w:top w:val="none" w:sz="0" w:space="0" w:color="000000"/>
              <w:left w:val="none" w:sz="0" w:space="0" w:color="000000"/>
              <w:bottom w:val="none" w:sz="0" w:space="0" w:color="000000"/>
              <w:right w:val="none" w:sz="0" w:space="0" w:color="000000"/>
            </w:tcBorders>
            <w:vAlign w:val="center"/>
          </w:tcPr>
          <w:p w14:paraId="0A3AF2B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0.113</w:t>
            </w:r>
          </w:p>
        </w:tc>
        <w:tc>
          <w:tcPr>
            <w:tcW w:w="1034" w:type="dxa"/>
            <w:tcBorders>
              <w:top w:val="none" w:sz="0" w:space="0" w:color="000000"/>
              <w:left w:val="none" w:sz="0" w:space="0" w:color="000000"/>
              <w:bottom w:val="none" w:sz="0" w:space="0" w:color="000000"/>
              <w:right w:val="none" w:sz="0" w:space="0" w:color="000000"/>
            </w:tcBorders>
            <w:vAlign w:val="center"/>
          </w:tcPr>
          <w:p w14:paraId="127DF5B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 xml:space="preserve">Abe 2024, Kawaji‐Kanayama </w:t>
            </w:r>
            <w:r w:rsidRPr="008E1CAD">
              <w:rPr>
                <w:rFonts w:ascii="Times New Roman" w:eastAsia="Times New Roman" w:hAnsi="Times New Roman" w:cs="Times New Roman"/>
                <w:sz w:val="18"/>
              </w:rPr>
              <w:lastRenderedPageBreak/>
              <w:t>2022, Lee 2019</w:t>
            </w:r>
          </w:p>
        </w:tc>
      </w:tr>
      <w:tr w:rsidR="00907E93" w:rsidRPr="008E1CAD" w14:paraId="26A5E373" w14:textId="77777777" w:rsidTr="00AA719D">
        <w:trPr>
          <w:jc w:val="center"/>
        </w:trPr>
        <w:tc>
          <w:tcPr>
            <w:tcW w:w="1126" w:type="dxa"/>
            <w:tcBorders>
              <w:top w:val="none" w:sz="0" w:space="0" w:color="000000"/>
              <w:left w:val="none" w:sz="0" w:space="0" w:color="000000"/>
              <w:bottom w:val="single" w:sz="12" w:space="0" w:color="000000"/>
              <w:right w:val="none" w:sz="0" w:space="0" w:color="000000"/>
            </w:tcBorders>
            <w:vAlign w:val="center"/>
          </w:tcPr>
          <w:p w14:paraId="50AB90C2" w14:textId="77777777" w:rsidR="00907E93" w:rsidRPr="008E1CAD" w:rsidRDefault="00907E93" w:rsidP="00AA719D">
            <w:pPr>
              <w:spacing w:before="40" w:after="40"/>
              <w:jc w:val="both"/>
              <w:rPr>
                <w:rFonts w:ascii="Times New Roman" w:hAnsi="Times New Roman" w:cs="Times New Roman"/>
              </w:rPr>
            </w:pPr>
          </w:p>
        </w:tc>
        <w:tc>
          <w:tcPr>
            <w:tcW w:w="1029" w:type="dxa"/>
            <w:tcBorders>
              <w:top w:val="none" w:sz="0" w:space="0" w:color="000000"/>
              <w:left w:val="none" w:sz="0" w:space="0" w:color="000000"/>
              <w:bottom w:val="single" w:sz="12" w:space="0" w:color="000000"/>
              <w:right w:val="none" w:sz="0" w:space="0" w:color="000000"/>
            </w:tcBorders>
            <w:vAlign w:val="center"/>
          </w:tcPr>
          <w:p w14:paraId="60DD3EA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Rd</w:t>
            </w:r>
          </w:p>
        </w:tc>
        <w:tc>
          <w:tcPr>
            <w:tcW w:w="1023" w:type="dxa"/>
            <w:tcBorders>
              <w:top w:val="none" w:sz="0" w:space="0" w:color="000000"/>
              <w:left w:val="none" w:sz="0" w:space="0" w:color="000000"/>
              <w:bottom w:val="single" w:sz="12" w:space="0" w:color="000000"/>
              <w:right w:val="none" w:sz="0" w:space="0" w:color="000000"/>
            </w:tcBorders>
            <w:vAlign w:val="center"/>
          </w:tcPr>
          <w:p w14:paraId="22B8DD1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w:t>
            </w:r>
          </w:p>
        </w:tc>
        <w:tc>
          <w:tcPr>
            <w:tcW w:w="1023" w:type="dxa"/>
            <w:tcBorders>
              <w:top w:val="none" w:sz="0" w:space="0" w:color="000000"/>
              <w:left w:val="none" w:sz="0" w:space="0" w:color="000000"/>
              <w:bottom w:val="single" w:sz="12" w:space="0" w:color="000000"/>
              <w:right w:val="none" w:sz="0" w:space="0" w:color="000000"/>
            </w:tcBorders>
            <w:vAlign w:val="center"/>
          </w:tcPr>
          <w:p w14:paraId="2906881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548</w:t>
            </w:r>
          </w:p>
        </w:tc>
        <w:tc>
          <w:tcPr>
            <w:tcW w:w="1027" w:type="dxa"/>
            <w:tcBorders>
              <w:top w:val="none" w:sz="0" w:space="0" w:color="000000"/>
              <w:left w:val="none" w:sz="0" w:space="0" w:color="000000"/>
              <w:bottom w:val="single" w:sz="12" w:space="0" w:color="000000"/>
              <w:right w:val="none" w:sz="0" w:space="0" w:color="000000"/>
            </w:tcBorders>
            <w:vAlign w:val="center"/>
          </w:tcPr>
          <w:p w14:paraId="7A9F677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0.048</w:t>
            </w:r>
          </w:p>
        </w:tc>
        <w:tc>
          <w:tcPr>
            <w:tcW w:w="1019" w:type="dxa"/>
            <w:tcBorders>
              <w:top w:val="none" w:sz="0" w:space="0" w:color="000000"/>
              <w:left w:val="none" w:sz="0" w:space="0" w:color="000000"/>
              <w:bottom w:val="single" w:sz="12" w:space="0" w:color="000000"/>
              <w:right w:val="none" w:sz="0" w:space="0" w:color="000000"/>
            </w:tcBorders>
            <w:vAlign w:val="center"/>
          </w:tcPr>
          <w:p w14:paraId="5051384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0.033</w:t>
            </w:r>
          </w:p>
        </w:tc>
        <w:tc>
          <w:tcPr>
            <w:tcW w:w="1019" w:type="dxa"/>
            <w:tcBorders>
              <w:top w:val="none" w:sz="0" w:space="0" w:color="000000"/>
              <w:left w:val="none" w:sz="0" w:space="0" w:color="000000"/>
              <w:bottom w:val="single" w:sz="12" w:space="0" w:color="000000"/>
              <w:right w:val="none" w:sz="0" w:space="0" w:color="000000"/>
            </w:tcBorders>
            <w:vAlign w:val="center"/>
          </w:tcPr>
          <w:p w14:paraId="56E8623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0.070</w:t>
            </w:r>
          </w:p>
        </w:tc>
        <w:tc>
          <w:tcPr>
            <w:tcW w:w="1034" w:type="dxa"/>
            <w:tcBorders>
              <w:top w:val="none" w:sz="0" w:space="0" w:color="000000"/>
              <w:left w:val="none" w:sz="0" w:space="0" w:color="000000"/>
              <w:bottom w:val="single" w:sz="12" w:space="0" w:color="000000"/>
              <w:right w:val="none" w:sz="0" w:space="0" w:color="000000"/>
            </w:tcBorders>
            <w:vAlign w:val="center"/>
          </w:tcPr>
          <w:p w14:paraId="2C0DC0B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Jo 2020</w:t>
            </w:r>
          </w:p>
        </w:tc>
      </w:tr>
    </w:tbl>
    <w:p w14:paraId="40B55FAF" w14:textId="149D75C4" w:rsidR="00CD4950" w:rsidRPr="008E1CAD" w:rsidRDefault="00CD4950" w:rsidP="00CD4950">
      <w:pPr>
        <w:rPr>
          <w:rFonts w:ascii="Times New Roman" w:hAnsi="Times New Roman" w:cs="Times New Roman"/>
          <w:sz w:val="18"/>
          <w:szCs w:val="18"/>
        </w:rPr>
      </w:pPr>
      <w:r w:rsidRPr="008E1CAD">
        <w:rPr>
          <w:rFonts w:ascii="Times New Roman" w:hAnsi="Times New Roman" w:cs="Times New Roman"/>
          <w:sz w:val="18"/>
          <w:szCs w:val="18"/>
        </w:rPr>
        <w:t>CI = confidence interval; Dara Mono = daratumumab monotherapy; Dd = daratumumab plus dexamethasone; DPd = daratumumab, pomalidomide, and dexamethasone; DRd = daratumumab, lenalidomide, and dexamethasone; Kd = carfilzomib plus dexamethasone; KRd = carfilzomib, lenalidomide, and dexamethasone; n = number of studies; N = sample size; Pd = pomalidomide plus dexamethasone; Rd = lenalidomide plus dexamethasone; VCd = bortezomib, cyclophosphamide, and dexamethasone; VPd = bortezomib, pomalidomide, and dexamethasone.</w:t>
      </w:r>
    </w:p>
    <w:p w14:paraId="5BD20D4C" w14:textId="77777777" w:rsidR="00717A20" w:rsidRPr="008E1CAD" w:rsidRDefault="00717A20" w:rsidP="00CD4950">
      <w:pPr>
        <w:rPr>
          <w:rFonts w:ascii="Times New Roman" w:hAnsi="Times New Roman" w:cs="Times New Roman"/>
        </w:rPr>
      </w:pPr>
    </w:p>
    <w:p w14:paraId="12CD60C8" w14:textId="02D2FC32" w:rsidR="00717A20" w:rsidRPr="008E1CAD" w:rsidRDefault="00717A20" w:rsidP="00717A20">
      <w:pPr>
        <w:pStyle w:val="21"/>
        <w:rPr>
          <w:rFonts w:cs="Times New Roman"/>
        </w:rPr>
      </w:pPr>
      <w:r w:rsidRPr="008E1CAD">
        <w:rPr>
          <w:rFonts w:cs="Times New Roman"/>
        </w:rPr>
        <w:t>2.</w:t>
      </w:r>
      <w:r w:rsidR="005C1E3B" w:rsidRPr="008E1CAD">
        <w:rPr>
          <w:rFonts w:cs="Times New Roman"/>
        </w:rPr>
        <w:t>4</w:t>
      </w:r>
      <w:r w:rsidRPr="008E1CAD">
        <w:rPr>
          <w:rFonts w:cs="Times New Roman"/>
        </w:rPr>
        <w:t xml:space="preserve"> Estim</w:t>
      </w:r>
      <w:r w:rsidR="00090FCB" w:rsidRPr="008E1CAD">
        <w:rPr>
          <w:rFonts w:cs="Times New Roman"/>
        </w:rPr>
        <w:t xml:space="preserve">ation of monthly mortality </w:t>
      </w:r>
      <w:r w:rsidR="0016552D" w:rsidRPr="008E1CAD">
        <w:rPr>
          <w:rFonts w:cs="Times New Roman"/>
        </w:rPr>
        <w:t>risk</w:t>
      </w:r>
      <w:r w:rsidR="00090FCB" w:rsidRPr="008E1CAD">
        <w:rPr>
          <w:rFonts w:cs="Times New Roman"/>
        </w:rPr>
        <w:t xml:space="preserve"> for supportive care</w:t>
      </w:r>
    </w:p>
    <w:p w14:paraId="653CEC49" w14:textId="704BB9A0" w:rsidR="00717A20" w:rsidRPr="008E1CAD" w:rsidRDefault="00717A20" w:rsidP="00717A20">
      <w:pPr>
        <w:spacing w:after="120"/>
        <w:rPr>
          <w:rFonts w:ascii="Times New Roman" w:eastAsia="Times New Roman" w:hAnsi="Times New Roman" w:cs="Times New Roman"/>
        </w:rPr>
      </w:pPr>
      <w:r w:rsidRPr="008E1CAD">
        <w:rPr>
          <w:rFonts w:ascii="Times New Roman" w:eastAsia="Times New Roman" w:hAnsi="Times New Roman" w:cs="Times New Roman"/>
        </w:rPr>
        <w:t xml:space="preserve">The baseline monthly mortality risk for patients transitioning into the supportive care health state was </w:t>
      </w:r>
      <w:r w:rsidR="006D5FB2" w:rsidRPr="008E1CAD">
        <w:rPr>
          <w:rFonts w:ascii="Times New Roman" w:eastAsia="Times New Roman" w:hAnsi="Times New Roman" w:cs="Times New Roman"/>
        </w:rPr>
        <w:t>set at</w:t>
      </w:r>
      <w:r w:rsidRPr="008E1CAD">
        <w:rPr>
          <w:rFonts w:ascii="Times New Roman" w:eastAsia="Times New Roman" w:hAnsi="Times New Roman" w:cs="Times New Roman"/>
        </w:rPr>
        <w:t xml:space="preserve"> 0.064. </w:t>
      </w:r>
      <w:r w:rsidR="006D5FB2" w:rsidRPr="008E1CAD">
        <w:rPr>
          <w:rFonts w:ascii="Times New Roman" w:eastAsia="Times New Roman" w:hAnsi="Times New Roman" w:cs="Times New Roman"/>
        </w:rPr>
        <w:t>This parameter was estimated using a regimen-utilization weighted average to reflect the expected distribution of subsequent-line treatment pathways in Chinese practice.</w:t>
      </w:r>
      <w:r w:rsidRPr="008E1CAD">
        <w:rPr>
          <w:rFonts w:ascii="Times New Roman" w:eastAsia="Times New Roman" w:hAnsi="Times New Roman" w:cs="Times New Roman"/>
        </w:rPr>
        <w:t xml:space="preserve"> Specifically, the calculation integrated the percentage weight distributions of subsequent-line maintenance therapies (including the DRd sequence matrix) with the corresponding post-progression monthly mortality </w:t>
      </w:r>
      <w:r w:rsidR="0016552D" w:rsidRPr="008E1CAD">
        <w:rPr>
          <w:rFonts w:ascii="Times New Roman" w:eastAsia="Times New Roman" w:hAnsi="Times New Roman" w:cs="Times New Roman"/>
        </w:rPr>
        <w:t>risk</w:t>
      </w:r>
      <w:r w:rsidRPr="008E1CAD">
        <w:rPr>
          <w:rFonts w:ascii="Times New Roman" w:eastAsia="Times New Roman" w:hAnsi="Times New Roman" w:cs="Times New Roman"/>
        </w:rPr>
        <w:t xml:space="preserve">s specific to each underlying therapeutic </w:t>
      </w:r>
      <w:r w:rsidR="00117EF6" w:rsidRPr="008E1CAD">
        <w:rPr>
          <w:rFonts w:ascii="Times New Roman" w:eastAsia="Times New Roman" w:hAnsi="Times New Roman" w:cs="Times New Roman"/>
        </w:rPr>
        <w:t>regimen</w:t>
      </w:r>
      <w:r w:rsidRPr="008E1CAD">
        <w:rPr>
          <w:rFonts w:ascii="Times New Roman" w:eastAsia="Times New Roman" w:hAnsi="Times New Roman" w:cs="Times New Roman"/>
        </w:rPr>
        <w:t xml:space="preserve"> (tabulated in </w:t>
      </w:r>
      <w:r w:rsidRPr="008E1CAD">
        <w:rPr>
          <w:rFonts w:ascii="Times New Roman" w:eastAsia="Times New Roman" w:hAnsi="Times New Roman" w:cs="Times New Roman"/>
          <w:i/>
          <w:iCs/>
        </w:rPr>
        <w:t xml:space="preserve">Table </w:t>
      </w:r>
      <w:r w:rsidR="00F95EB1" w:rsidRPr="008E1CAD">
        <w:rPr>
          <w:rFonts w:ascii="Times New Roman" w:eastAsia="Times New Roman" w:hAnsi="Times New Roman" w:cs="Times New Roman"/>
          <w:i/>
          <w:iCs/>
        </w:rPr>
        <w:t>S</w:t>
      </w:r>
      <w:r w:rsidR="00427DBD">
        <w:rPr>
          <w:rFonts w:ascii="Times New Roman" w:eastAsia="Times New Roman" w:hAnsi="Times New Roman" w:cs="Times New Roman" w:hint="eastAsia"/>
          <w:i/>
          <w:iCs/>
        </w:rPr>
        <w:t>5</w:t>
      </w:r>
      <w:r w:rsidR="00F95EB1" w:rsidRPr="008E1CAD">
        <w:rPr>
          <w:rFonts w:ascii="Times New Roman" w:eastAsia="Times New Roman" w:hAnsi="Times New Roman" w:cs="Times New Roman"/>
        </w:rPr>
        <w:t xml:space="preserve"> </w:t>
      </w:r>
      <w:r w:rsidRPr="008E1CAD">
        <w:rPr>
          <w:rFonts w:ascii="Times New Roman" w:eastAsia="Times New Roman" w:hAnsi="Times New Roman" w:cs="Times New Roman"/>
        </w:rPr>
        <w:t xml:space="preserve">and </w:t>
      </w:r>
      <w:r w:rsidRPr="008E1CAD">
        <w:rPr>
          <w:rFonts w:ascii="Times New Roman" w:eastAsia="Times New Roman" w:hAnsi="Times New Roman" w:cs="Times New Roman"/>
          <w:i/>
          <w:iCs/>
        </w:rPr>
        <w:t xml:space="preserve">Table </w:t>
      </w:r>
      <w:r w:rsidR="00F95EB1" w:rsidRPr="008E1CAD">
        <w:rPr>
          <w:rFonts w:ascii="Times New Roman" w:eastAsia="Times New Roman" w:hAnsi="Times New Roman" w:cs="Times New Roman"/>
          <w:i/>
          <w:iCs/>
        </w:rPr>
        <w:t>S</w:t>
      </w:r>
      <w:r w:rsidR="00427DBD">
        <w:rPr>
          <w:rFonts w:ascii="Times New Roman" w:eastAsia="Times New Roman" w:hAnsi="Times New Roman" w:cs="Times New Roman" w:hint="eastAsia"/>
          <w:i/>
          <w:iCs/>
        </w:rPr>
        <w:t>6</w:t>
      </w:r>
      <w:r w:rsidRPr="008E1CAD">
        <w:rPr>
          <w:rFonts w:ascii="Times New Roman" w:eastAsia="Times New Roman" w:hAnsi="Times New Roman" w:cs="Times New Roman"/>
        </w:rPr>
        <w:t>).</w:t>
      </w:r>
    </w:p>
    <w:p w14:paraId="33F44B1D" w14:textId="77777777" w:rsidR="00717A20" w:rsidRPr="008E1CAD" w:rsidRDefault="00717A20" w:rsidP="00717A20">
      <w:pPr>
        <w:spacing w:after="120"/>
        <w:rPr>
          <w:rFonts w:ascii="Times New Roman" w:eastAsia="Times New Roman" w:hAnsi="Times New Roman" w:cs="Times New Roman"/>
        </w:rPr>
      </w:pPr>
    </w:p>
    <w:p w14:paraId="45137F81" w14:textId="529F6B44" w:rsidR="00907E93" w:rsidRPr="008E1CAD" w:rsidRDefault="00000000" w:rsidP="00DB2FAD">
      <w:pPr>
        <w:pStyle w:val="21"/>
        <w:rPr>
          <w:rFonts w:cs="Times New Roman"/>
        </w:rPr>
      </w:pPr>
      <w:r w:rsidRPr="008E1CAD">
        <w:rPr>
          <w:rFonts w:cs="Times New Roman"/>
        </w:rPr>
        <w:t>2.</w:t>
      </w:r>
      <w:r w:rsidR="005C1E3B" w:rsidRPr="008E1CAD">
        <w:rPr>
          <w:rFonts w:cs="Times New Roman"/>
        </w:rPr>
        <w:t>5</w:t>
      </w:r>
      <w:r w:rsidRPr="008E1CAD">
        <w:rPr>
          <w:rFonts w:cs="Times New Roman"/>
        </w:rPr>
        <w:t xml:space="preserve"> </w:t>
      </w:r>
      <w:r w:rsidR="006D5FB2" w:rsidRPr="008E1CAD">
        <w:rPr>
          <w:rFonts w:cs="Times New Roman"/>
        </w:rPr>
        <w:t>Structural weight distribution of regimens within subsequent-line baskets</w:t>
      </w:r>
    </w:p>
    <w:p w14:paraId="180F51B4" w14:textId="241D10C2" w:rsidR="00907E93" w:rsidRPr="008E1CAD" w:rsidRDefault="00BB0AFF">
      <w:pPr>
        <w:spacing w:after="120"/>
        <w:rPr>
          <w:rFonts w:ascii="Times New Roman" w:hAnsi="Times New Roman" w:cs="Times New Roman"/>
        </w:rPr>
      </w:pPr>
      <w:r w:rsidRPr="008E1CAD">
        <w:rPr>
          <w:rFonts w:ascii="Times New Roman" w:eastAsia="Times New Roman" w:hAnsi="Times New Roman" w:cs="Times New Roman"/>
        </w:rPr>
        <w:t xml:space="preserve">The percentages presented in </w:t>
      </w:r>
      <w:r w:rsidRPr="00AA719D">
        <w:rPr>
          <w:rFonts w:ascii="Times New Roman" w:eastAsia="Times New Roman" w:hAnsi="Times New Roman" w:cs="Times New Roman"/>
          <w:i/>
          <w:iCs/>
        </w:rPr>
        <w:t>Table S</w:t>
      </w:r>
      <w:r w:rsidR="00427DBD" w:rsidRPr="00AA719D">
        <w:rPr>
          <w:rFonts w:ascii="Times New Roman" w:eastAsia="Times New Roman" w:hAnsi="Times New Roman" w:cs="Times New Roman"/>
          <w:i/>
          <w:iCs/>
        </w:rPr>
        <w:t>6</w:t>
      </w:r>
      <w:r w:rsidRPr="008E1CAD">
        <w:rPr>
          <w:rFonts w:ascii="Times New Roman" w:eastAsia="Times New Roman" w:hAnsi="Times New Roman" w:cs="Times New Roman"/>
        </w:rPr>
        <w:t xml:space="preserve"> are prespecified structural allocation weights used to distribute the cohort across the regimens remaining available within each treatment basket. They are not pooled estimates of the probability that an individual Chinese patient would receive a specific regimen at a particular line of therapy. When a front-line regimen was excluded from a pathway, the weights of the remaining eligible regimens were normalized so that the distribution summed to approximately 100% within the corresponding subsequent-induction or subsequent-maintenance basket. The purpose of these weights was to combine regimen-specific clinical inputs within a consistent cohort-level modeling framework. Because complete longitudinal treatment-sequence data were unavailable, uncertainty remains regarding how closely these structural distributions reflect treatment selection in individual patients, institutions, and regions.</w:t>
      </w:r>
    </w:p>
    <w:p w14:paraId="1EBE3811" w14:textId="7025D64E" w:rsidR="00907E93" w:rsidRPr="008E1CAD" w:rsidRDefault="00000000">
      <w:pPr>
        <w:spacing w:before="120" w:after="120"/>
        <w:rPr>
          <w:rFonts w:ascii="Times New Roman" w:hAnsi="Times New Roman" w:cs="Times New Roman"/>
        </w:rPr>
      </w:pPr>
      <w:r w:rsidRPr="008E1CAD">
        <w:rPr>
          <w:rFonts w:ascii="Times New Roman" w:eastAsia="Times New Roman" w:hAnsi="Times New Roman" w:cs="Times New Roman"/>
          <w:b/>
          <w:i/>
          <w:sz w:val="18"/>
        </w:rPr>
        <w:t xml:space="preserve">Table </w:t>
      </w:r>
      <w:r w:rsidR="00F95EB1" w:rsidRPr="008E1CAD">
        <w:rPr>
          <w:rFonts w:ascii="Times New Roman" w:eastAsia="Times New Roman" w:hAnsi="Times New Roman" w:cs="Times New Roman"/>
          <w:b/>
          <w:i/>
          <w:sz w:val="18"/>
        </w:rPr>
        <w:t>S</w:t>
      </w:r>
      <w:r w:rsidR="00427DBD">
        <w:rPr>
          <w:rFonts w:ascii="Times New Roman" w:eastAsia="Times New Roman" w:hAnsi="Times New Roman" w:cs="Times New Roman" w:hint="eastAsia"/>
          <w:b/>
          <w:i/>
          <w:sz w:val="18"/>
        </w:rPr>
        <w:t>6</w:t>
      </w:r>
      <w:r w:rsidRPr="008E1CAD">
        <w:rPr>
          <w:rFonts w:ascii="Times New Roman" w:eastAsia="Times New Roman" w:hAnsi="Times New Roman" w:cs="Times New Roman"/>
          <w:b/>
          <w:i/>
          <w:sz w:val="18"/>
        </w:rPr>
        <w:t xml:space="preserve">. </w:t>
      </w:r>
      <w:r w:rsidR="006D5FB2" w:rsidRPr="008E1CAD">
        <w:rPr>
          <w:rFonts w:ascii="Times New Roman" w:eastAsia="Times New Roman" w:hAnsi="Times New Roman" w:cs="Times New Roman"/>
          <w:i/>
          <w:sz w:val="18"/>
        </w:rPr>
        <w:t>Subsequent-line regimen-utilization weight distribution</w:t>
      </w:r>
      <w:r w:rsidR="00DA5009" w:rsidRPr="008E1CAD">
        <w:rPr>
          <w:rFonts w:ascii="Times New Roman" w:eastAsia="Times New Roman" w:hAnsi="Times New Roman" w:cs="Times New Roman"/>
          <w:i/>
          <w:sz w:val="18"/>
        </w:rPr>
        <w:t>.</w:t>
      </w:r>
    </w:p>
    <w:tbl>
      <w:tblPr>
        <w:tblW w:w="0" w:type="auto"/>
        <w:jc w:val="cente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Look w:val="04A0" w:firstRow="1" w:lastRow="0" w:firstColumn="1" w:lastColumn="0" w:noHBand="0" w:noVBand="1"/>
      </w:tblPr>
      <w:tblGrid>
        <w:gridCol w:w="1660"/>
        <w:gridCol w:w="1660"/>
        <w:gridCol w:w="1660"/>
        <w:gridCol w:w="1660"/>
        <w:gridCol w:w="1660"/>
      </w:tblGrid>
      <w:tr w:rsidR="00907E93" w:rsidRPr="008E1CAD" w14:paraId="79D9699A" w14:textId="77777777" w:rsidTr="00AA719D">
        <w:trPr>
          <w:jc w:val="center"/>
        </w:trPr>
        <w:tc>
          <w:tcPr>
            <w:tcW w:w="1660" w:type="dxa"/>
            <w:tcBorders>
              <w:top w:val="single" w:sz="12" w:space="0" w:color="000000"/>
              <w:left w:val="none" w:sz="0" w:space="0" w:color="000000"/>
              <w:bottom w:val="single" w:sz="6" w:space="0" w:color="000000"/>
              <w:right w:val="none" w:sz="0" w:space="0" w:color="000000"/>
            </w:tcBorders>
            <w:vAlign w:val="center"/>
          </w:tcPr>
          <w:p w14:paraId="02799735" w14:textId="20C2F361"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Subsequent</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regimen</w:t>
            </w:r>
          </w:p>
        </w:tc>
        <w:tc>
          <w:tcPr>
            <w:tcW w:w="1660" w:type="dxa"/>
            <w:tcBorders>
              <w:top w:val="single" w:sz="12" w:space="0" w:color="000000"/>
              <w:left w:val="none" w:sz="0" w:space="0" w:color="000000"/>
              <w:bottom w:val="single" w:sz="6" w:space="0" w:color="000000"/>
              <w:right w:val="none" w:sz="0" w:space="0" w:color="000000"/>
            </w:tcBorders>
            <w:vAlign w:val="center"/>
          </w:tcPr>
          <w:p w14:paraId="0DAA741F" w14:textId="71A4DE34"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iCT IRd:</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subsequent</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induction</w:t>
            </w:r>
          </w:p>
        </w:tc>
        <w:tc>
          <w:tcPr>
            <w:tcW w:w="1660" w:type="dxa"/>
            <w:tcBorders>
              <w:top w:val="single" w:sz="12" w:space="0" w:color="000000"/>
              <w:left w:val="none" w:sz="0" w:space="0" w:color="000000"/>
              <w:bottom w:val="single" w:sz="6" w:space="0" w:color="000000"/>
              <w:right w:val="none" w:sz="0" w:space="0" w:color="000000"/>
            </w:tcBorders>
            <w:vAlign w:val="center"/>
          </w:tcPr>
          <w:p w14:paraId="5F356EA7" w14:textId="3217FC68"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iCT IRd:</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subsequent</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maintenance</w:t>
            </w:r>
          </w:p>
        </w:tc>
        <w:tc>
          <w:tcPr>
            <w:tcW w:w="1660" w:type="dxa"/>
            <w:tcBorders>
              <w:top w:val="single" w:sz="12" w:space="0" w:color="000000"/>
              <w:left w:val="none" w:sz="0" w:space="0" w:color="000000"/>
              <w:bottom w:val="single" w:sz="6" w:space="0" w:color="000000"/>
              <w:right w:val="none" w:sz="0" w:space="0" w:color="000000"/>
            </w:tcBorders>
            <w:vAlign w:val="center"/>
          </w:tcPr>
          <w:p w14:paraId="1FE2DFA7" w14:textId="64E85324"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DRd:</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subsequent</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induction</w:t>
            </w:r>
          </w:p>
        </w:tc>
        <w:tc>
          <w:tcPr>
            <w:tcW w:w="1660" w:type="dxa"/>
            <w:tcBorders>
              <w:top w:val="single" w:sz="12" w:space="0" w:color="000000"/>
              <w:left w:val="none" w:sz="0" w:space="0" w:color="000000"/>
              <w:bottom w:val="single" w:sz="6" w:space="0" w:color="000000"/>
              <w:right w:val="none" w:sz="0" w:space="0" w:color="000000"/>
            </w:tcBorders>
            <w:vAlign w:val="center"/>
          </w:tcPr>
          <w:p w14:paraId="5DAABB1F" w14:textId="1433B5BA"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DRd:</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subsequent</w:t>
            </w:r>
            <w:r w:rsidR="006F034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maintenance</w:t>
            </w:r>
          </w:p>
        </w:tc>
      </w:tr>
      <w:tr w:rsidR="00907E93" w:rsidRPr="008E1CAD" w14:paraId="5B6A8E41"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24B534E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DRd</w:t>
            </w:r>
          </w:p>
        </w:tc>
        <w:tc>
          <w:tcPr>
            <w:tcW w:w="1660" w:type="dxa"/>
            <w:tcBorders>
              <w:top w:val="none" w:sz="0" w:space="0" w:color="000000"/>
              <w:left w:val="none" w:sz="0" w:space="0" w:color="000000"/>
              <w:bottom w:val="none" w:sz="0" w:space="0" w:color="000000"/>
              <w:right w:val="none" w:sz="0" w:space="0" w:color="000000"/>
            </w:tcBorders>
            <w:vAlign w:val="center"/>
          </w:tcPr>
          <w:p w14:paraId="56BA5FF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20.5%</w:t>
            </w:r>
          </w:p>
        </w:tc>
        <w:tc>
          <w:tcPr>
            <w:tcW w:w="1660" w:type="dxa"/>
            <w:tcBorders>
              <w:top w:val="none" w:sz="0" w:space="0" w:color="000000"/>
              <w:left w:val="none" w:sz="0" w:space="0" w:color="000000"/>
              <w:bottom w:val="none" w:sz="0" w:space="0" w:color="000000"/>
              <w:right w:val="none" w:sz="0" w:space="0" w:color="000000"/>
            </w:tcBorders>
            <w:vAlign w:val="center"/>
          </w:tcPr>
          <w:p w14:paraId="4701A5A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22.9%</w:t>
            </w:r>
          </w:p>
        </w:tc>
        <w:tc>
          <w:tcPr>
            <w:tcW w:w="1660" w:type="dxa"/>
            <w:tcBorders>
              <w:top w:val="none" w:sz="0" w:space="0" w:color="000000"/>
              <w:left w:val="none" w:sz="0" w:space="0" w:color="000000"/>
              <w:bottom w:val="none" w:sz="0" w:space="0" w:color="000000"/>
              <w:right w:val="none" w:sz="0" w:space="0" w:color="000000"/>
            </w:tcBorders>
            <w:vAlign w:val="center"/>
          </w:tcPr>
          <w:p w14:paraId="253E019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w:t>
            </w:r>
          </w:p>
        </w:tc>
        <w:tc>
          <w:tcPr>
            <w:tcW w:w="1660" w:type="dxa"/>
            <w:tcBorders>
              <w:top w:val="none" w:sz="0" w:space="0" w:color="000000"/>
              <w:left w:val="none" w:sz="0" w:space="0" w:color="000000"/>
              <w:bottom w:val="none" w:sz="0" w:space="0" w:color="000000"/>
              <w:right w:val="none" w:sz="0" w:space="0" w:color="000000"/>
            </w:tcBorders>
            <w:vAlign w:val="center"/>
          </w:tcPr>
          <w:p w14:paraId="56CEED1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w:t>
            </w:r>
          </w:p>
        </w:tc>
      </w:tr>
      <w:tr w:rsidR="00907E93" w:rsidRPr="008E1CAD" w14:paraId="6ED4DEC5"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21E039F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DPd</w:t>
            </w:r>
          </w:p>
        </w:tc>
        <w:tc>
          <w:tcPr>
            <w:tcW w:w="1660" w:type="dxa"/>
            <w:tcBorders>
              <w:top w:val="none" w:sz="0" w:space="0" w:color="000000"/>
              <w:left w:val="none" w:sz="0" w:space="0" w:color="000000"/>
              <w:bottom w:val="none" w:sz="0" w:space="0" w:color="000000"/>
              <w:right w:val="none" w:sz="0" w:space="0" w:color="000000"/>
            </w:tcBorders>
            <w:vAlign w:val="center"/>
          </w:tcPr>
          <w:p w14:paraId="321C973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12.7%</w:t>
            </w:r>
          </w:p>
        </w:tc>
        <w:tc>
          <w:tcPr>
            <w:tcW w:w="1660" w:type="dxa"/>
            <w:tcBorders>
              <w:top w:val="none" w:sz="0" w:space="0" w:color="000000"/>
              <w:left w:val="none" w:sz="0" w:space="0" w:color="000000"/>
              <w:bottom w:val="none" w:sz="0" w:space="0" w:color="000000"/>
              <w:right w:val="none" w:sz="0" w:space="0" w:color="000000"/>
            </w:tcBorders>
            <w:vAlign w:val="center"/>
          </w:tcPr>
          <w:p w14:paraId="0DE1F4B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14.2%</w:t>
            </w:r>
          </w:p>
        </w:tc>
        <w:tc>
          <w:tcPr>
            <w:tcW w:w="1660" w:type="dxa"/>
            <w:tcBorders>
              <w:top w:val="none" w:sz="0" w:space="0" w:color="000000"/>
              <w:left w:val="none" w:sz="0" w:space="0" w:color="000000"/>
              <w:bottom w:val="none" w:sz="0" w:space="0" w:color="000000"/>
              <w:right w:val="none" w:sz="0" w:space="0" w:color="000000"/>
            </w:tcBorders>
            <w:vAlign w:val="center"/>
          </w:tcPr>
          <w:p w14:paraId="307510B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20.6%</w:t>
            </w:r>
          </w:p>
        </w:tc>
        <w:tc>
          <w:tcPr>
            <w:tcW w:w="1660" w:type="dxa"/>
            <w:tcBorders>
              <w:top w:val="none" w:sz="0" w:space="0" w:color="000000"/>
              <w:left w:val="none" w:sz="0" w:space="0" w:color="000000"/>
              <w:bottom w:val="none" w:sz="0" w:space="0" w:color="000000"/>
              <w:right w:val="none" w:sz="0" w:space="0" w:color="000000"/>
            </w:tcBorders>
            <w:vAlign w:val="center"/>
          </w:tcPr>
          <w:p w14:paraId="160F950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23.0%</w:t>
            </w:r>
          </w:p>
        </w:tc>
      </w:tr>
      <w:tr w:rsidR="00907E93" w:rsidRPr="008E1CAD" w14:paraId="6FE7DD4D"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7773125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Dd</w:t>
            </w:r>
          </w:p>
        </w:tc>
        <w:tc>
          <w:tcPr>
            <w:tcW w:w="1660" w:type="dxa"/>
            <w:tcBorders>
              <w:top w:val="none" w:sz="0" w:space="0" w:color="000000"/>
              <w:left w:val="none" w:sz="0" w:space="0" w:color="000000"/>
              <w:bottom w:val="none" w:sz="0" w:space="0" w:color="000000"/>
              <w:right w:val="none" w:sz="0" w:space="0" w:color="000000"/>
            </w:tcBorders>
            <w:vAlign w:val="center"/>
          </w:tcPr>
          <w:p w14:paraId="1494821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10.3%</w:t>
            </w:r>
          </w:p>
        </w:tc>
        <w:tc>
          <w:tcPr>
            <w:tcW w:w="1660" w:type="dxa"/>
            <w:tcBorders>
              <w:top w:val="none" w:sz="0" w:space="0" w:color="000000"/>
              <w:left w:val="none" w:sz="0" w:space="0" w:color="000000"/>
              <w:bottom w:val="none" w:sz="0" w:space="0" w:color="000000"/>
              <w:right w:val="none" w:sz="0" w:space="0" w:color="000000"/>
            </w:tcBorders>
            <w:vAlign w:val="center"/>
          </w:tcPr>
          <w:p w14:paraId="204F22B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11.4%</w:t>
            </w:r>
          </w:p>
        </w:tc>
        <w:tc>
          <w:tcPr>
            <w:tcW w:w="1660" w:type="dxa"/>
            <w:tcBorders>
              <w:top w:val="none" w:sz="0" w:space="0" w:color="000000"/>
              <w:left w:val="none" w:sz="0" w:space="0" w:color="000000"/>
              <w:bottom w:val="none" w:sz="0" w:space="0" w:color="000000"/>
              <w:right w:val="none" w:sz="0" w:space="0" w:color="000000"/>
            </w:tcBorders>
            <w:vAlign w:val="center"/>
          </w:tcPr>
          <w:p w14:paraId="16F2A99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16.6%</w:t>
            </w:r>
          </w:p>
        </w:tc>
        <w:tc>
          <w:tcPr>
            <w:tcW w:w="1660" w:type="dxa"/>
            <w:tcBorders>
              <w:top w:val="none" w:sz="0" w:space="0" w:color="000000"/>
              <w:left w:val="none" w:sz="0" w:space="0" w:color="000000"/>
              <w:bottom w:val="none" w:sz="0" w:space="0" w:color="000000"/>
              <w:right w:val="none" w:sz="0" w:space="0" w:color="000000"/>
            </w:tcBorders>
            <w:vAlign w:val="center"/>
          </w:tcPr>
          <w:p w14:paraId="7660855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18.5%</w:t>
            </w:r>
          </w:p>
        </w:tc>
      </w:tr>
      <w:tr w:rsidR="00907E93" w:rsidRPr="008E1CAD" w14:paraId="3E24C770"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2D21C17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Dara Mono</w:t>
            </w:r>
          </w:p>
        </w:tc>
        <w:tc>
          <w:tcPr>
            <w:tcW w:w="1660" w:type="dxa"/>
            <w:tcBorders>
              <w:top w:val="none" w:sz="0" w:space="0" w:color="000000"/>
              <w:left w:val="none" w:sz="0" w:space="0" w:color="000000"/>
              <w:bottom w:val="none" w:sz="0" w:space="0" w:color="000000"/>
              <w:right w:val="none" w:sz="0" w:space="0" w:color="000000"/>
            </w:tcBorders>
            <w:vAlign w:val="center"/>
          </w:tcPr>
          <w:p w14:paraId="0308D59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10.3%</w:t>
            </w:r>
          </w:p>
        </w:tc>
        <w:tc>
          <w:tcPr>
            <w:tcW w:w="1660" w:type="dxa"/>
            <w:tcBorders>
              <w:top w:val="none" w:sz="0" w:space="0" w:color="000000"/>
              <w:left w:val="none" w:sz="0" w:space="0" w:color="000000"/>
              <w:bottom w:val="none" w:sz="0" w:space="0" w:color="000000"/>
              <w:right w:val="none" w:sz="0" w:space="0" w:color="000000"/>
            </w:tcBorders>
            <w:vAlign w:val="center"/>
          </w:tcPr>
          <w:p w14:paraId="04F7D5E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11.4%</w:t>
            </w:r>
          </w:p>
        </w:tc>
        <w:tc>
          <w:tcPr>
            <w:tcW w:w="1660" w:type="dxa"/>
            <w:tcBorders>
              <w:top w:val="none" w:sz="0" w:space="0" w:color="000000"/>
              <w:left w:val="none" w:sz="0" w:space="0" w:color="000000"/>
              <w:bottom w:val="none" w:sz="0" w:space="0" w:color="000000"/>
              <w:right w:val="none" w:sz="0" w:space="0" w:color="000000"/>
            </w:tcBorders>
            <w:vAlign w:val="center"/>
          </w:tcPr>
          <w:p w14:paraId="32D4FD8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16.6%</w:t>
            </w:r>
          </w:p>
        </w:tc>
        <w:tc>
          <w:tcPr>
            <w:tcW w:w="1660" w:type="dxa"/>
            <w:tcBorders>
              <w:top w:val="none" w:sz="0" w:space="0" w:color="000000"/>
              <w:left w:val="none" w:sz="0" w:space="0" w:color="000000"/>
              <w:bottom w:val="none" w:sz="0" w:space="0" w:color="000000"/>
              <w:right w:val="none" w:sz="0" w:space="0" w:color="000000"/>
            </w:tcBorders>
            <w:vAlign w:val="center"/>
          </w:tcPr>
          <w:p w14:paraId="300EAD8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18.5%</w:t>
            </w:r>
          </w:p>
        </w:tc>
      </w:tr>
      <w:tr w:rsidR="00907E93" w:rsidRPr="008E1CAD" w14:paraId="0F9597D8"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2403E14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VPd</w:t>
            </w:r>
          </w:p>
        </w:tc>
        <w:tc>
          <w:tcPr>
            <w:tcW w:w="1660" w:type="dxa"/>
            <w:tcBorders>
              <w:top w:val="none" w:sz="0" w:space="0" w:color="000000"/>
              <w:left w:val="none" w:sz="0" w:space="0" w:color="000000"/>
              <w:bottom w:val="none" w:sz="0" w:space="0" w:color="000000"/>
              <w:right w:val="none" w:sz="0" w:space="0" w:color="000000"/>
            </w:tcBorders>
            <w:vAlign w:val="center"/>
          </w:tcPr>
          <w:p w14:paraId="43E62AD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6.9%</w:t>
            </w:r>
          </w:p>
        </w:tc>
        <w:tc>
          <w:tcPr>
            <w:tcW w:w="1660" w:type="dxa"/>
            <w:tcBorders>
              <w:top w:val="none" w:sz="0" w:space="0" w:color="000000"/>
              <w:left w:val="none" w:sz="0" w:space="0" w:color="000000"/>
              <w:bottom w:val="none" w:sz="0" w:space="0" w:color="000000"/>
              <w:right w:val="none" w:sz="0" w:space="0" w:color="000000"/>
            </w:tcBorders>
            <w:vAlign w:val="center"/>
          </w:tcPr>
          <w:p w14:paraId="7005A5C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5.3%</w:t>
            </w:r>
          </w:p>
        </w:tc>
        <w:tc>
          <w:tcPr>
            <w:tcW w:w="1660" w:type="dxa"/>
            <w:tcBorders>
              <w:top w:val="none" w:sz="0" w:space="0" w:color="000000"/>
              <w:left w:val="none" w:sz="0" w:space="0" w:color="000000"/>
              <w:bottom w:val="none" w:sz="0" w:space="0" w:color="000000"/>
              <w:right w:val="none" w:sz="0" w:space="0" w:color="000000"/>
            </w:tcBorders>
            <w:vAlign w:val="center"/>
          </w:tcPr>
          <w:p w14:paraId="23B6E92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6.9%</w:t>
            </w:r>
          </w:p>
        </w:tc>
        <w:tc>
          <w:tcPr>
            <w:tcW w:w="1660" w:type="dxa"/>
            <w:tcBorders>
              <w:top w:val="none" w:sz="0" w:space="0" w:color="000000"/>
              <w:left w:val="none" w:sz="0" w:space="0" w:color="000000"/>
              <w:bottom w:val="none" w:sz="0" w:space="0" w:color="000000"/>
              <w:right w:val="none" w:sz="0" w:space="0" w:color="000000"/>
            </w:tcBorders>
            <w:vAlign w:val="center"/>
          </w:tcPr>
          <w:p w14:paraId="3B1AD62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5.3%</w:t>
            </w:r>
          </w:p>
        </w:tc>
      </w:tr>
      <w:tr w:rsidR="00907E93" w:rsidRPr="008E1CAD" w14:paraId="12FC84BA"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78EEE38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VCd</w:t>
            </w:r>
          </w:p>
        </w:tc>
        <w:tc>
          <w:tcPr>
            <w:tcW w:w="1660" w:type="dxa"/>
            <w:tcBorders>
              <w:top w:val="none" w:sz="0" w:space="0" w:color="000000"/>
              <w:left w:val="none" w:sz="0" w:space="0" w:color="000000"/>
              <w:bottom w:val="none" w:sz="0" w:space="0" w:color="000000"/>
              <w:right w:val="none" w:sz="0" w:space="0" w:color="000000"/>
            </w:tcBorders>
            <w:vAlign w:val="center"/>
          </w:tcPr>
          <w:p w14:paraId="7F9AA1E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6.9%</w:t>
            </w:r>
          </w:p>
        </w:tc>
        <w:tc>
          <w:tcPr>
            <w:tcW w:w="1660" w:type="dxa"/>
            <w:tcBorders>
              <w:top w:val="none" w:sz="0" w:space="0" w:color="000000"/>
              <w:left w:val="none" w:sz="0" w:space="0" w:color="000000"/>
              <w:bottom w:val="none" w:sz="0" w:space="0" w:color="000000"/>
              <w:right w:val="none" w:sz="0" w:space="0" w:color="000000"/>
            </w:tcBorders>
            <w:vAlign w:val="center"/>
          </w:tcPr>
          <w:p w14:paraId="6A4122A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5.3%</w:t>
            </w:r>
          </w:p>
        </w:tc>
        <w:tc>
          <w:tcPr>
            <w:tcW w:w="1660" w:type="dxa"/>
            <w:tcBorders>
              <w:top w:val="none" w:sz="0" w:space="0" w:color="000000"/>
              <w:left w:val="none" w:sz="0" w:space="0" w:color="000000"/>
              <w:bottom w:val="none" w:sz="0" w:space="0" w:color="000000"/>
              <w:right w:val="none" w:sz="0" w:space="0" w:color="000000"/>
            </w:tcBorders>
            <w:vAlign w:val="center"/>
          </w:tcPr>
          <w:p w14:paraId="5FDB72D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6.9%</w:t>
            </w:r>
          </w:p>
        </w:tc>
        <w:tc>
          <w:tcPr>
            <w:tcW w:w="1660" w:type="dxa"/>
            <w:tcBorders>
              <w:top w:val="none" w:sz="0" w:space="0" w:color="000000"/>
              <w:left w:val="none" w:sz="0" w:space="0" w:color="000000"/>
              <w:bottom w:val="none" w:sz="0" w:space="0" w:color="000000"/>
              <w:right w:val="none" w:sz="0" w:space="0" w:color="000000"/>
            </w:tcBorders>
            <w:vAlign w:val="center"/>
          </w:tcPr>
          <w:p w14:paraId="00D1FDA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5.3%</w:t>
            </w:r>
          </w:p>
        </w:tc>
      </w:tr>
      <w:tr w:rsidR="00907E93" w:rsidRPr="008E1CAD" w14:paraId="14C0E399"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7C7C889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Pd</w:t>
            </w:r>
          </w:p>
        </w:tc>
        <w:tc>
          <w:tcPr>
            <w:tcW w:w="1660" w:type="dxa"/>
            <w:tcBorders>
              <w:top w:val="none" w:sz="0" w:space="0" w:color="000000"/>
              <w:left w:val="none" w:sz="0" w:space="0" w:color="000000"/>
              <w:bottom w:val="none" w:sz="0" w:space="0" w:color="000000"/>
              <w:right w:val="none" w:sz="0" w:space="0" w:color="000000"/>
            </w:tcBorders>
            <w:vAlign w:val="center"/>
          </w:tcPr>
          <w:p w14:paraId="509211D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10.0%</w:t>
            </w:r>
          </w:p>
        </w:tc>
        <w:tc>
          <w:tcPr>
            <w:tcW w:w="1660" w:type="dxa"/>
            <w:tcBorders>
              <w:top w:val="none" w:sz="0" w:space="0" w:color="000000"/>
              <w:left w:val="none" w:sz="0" w:space="0" w:color="000000"/>
              <w:bottom w:val="none" w:sz="0" w:space="0" w:color="000000"/>
              <w:right w:val="none" w:sz="0" w:space="0" w:color="000000"/>
            </w:tcBorders>
            <w:vAlign w:val="center"/>
          </w:tcPr>
          <w:p w14:paraId="0EC25D4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w:t>
            </w:r>
          </w:p>
        </w:tc>
        <w:tc>
          <w:tcPr>
            <w:tcW w:w="1660" w:type="dxa"/>
            <w:tcBorders>
              <w:top w:val="none" w:sz="0" w:space="0" w:color="000000"/>
              <w:left w:val="none" w:sz="0" w:space="0" w:color="000000"/>
              <w:bottom w:val="none" w:sz="0" w:space="0" w:color="000000"/>
              <w:right w:val="none" w:sz="0" w:space="0" w:color="000000"/>
            </w:tcBorders>
            <w:vAlign w:val="center"/>
          </w:tcPr>
          <w:p w14:paraId="5180A11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10.0%</w:t>
            </w:r>
          </w:p>
        </w:tc>
        <w:tc>
          <w:tcPr>
            <w:tcW w:w="1660" w:type="dxa"/>
            <w:tcBorders>
              <w:top w:val="none" w:sz="0" w:space="0" w:color="000000"/>
              <w:left w:val="none" w:sz="0" w:space="0" w:color="000000"/>
              <w:bottom w:val="none" w:sz="0" w:space="0" w:color="000000"/>
              <w:right w:val="none" w:sz="0" w:space="0" w:color="000000"/>
            </w:tcBorders>
            <w:vAlign w:val="center"/>
          </w:tcPr>
          <w:p w14:paraId="4EB1C43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w:t>
            </w:r>
          </w:p>
        </w:tc>
      </w:tr>
      <w:tr w:rsidR="00907E93" w:rsidRPr="008E1CAD" w14:paraId="36A7F8E8"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46E81CD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KRd</w:t>
            </w:r>
          </w:p>
        </w:tc>
        <w:tc>
          <w:tcPr>
            <w:tcW w:w="1660" w:type="dxa"/>
            <w:tcBorders>
              <w:top w:val="none" w:sz="0" w:space="0" w:color="000000"/>
              <w:left w:val="none" w:sz="0" w:space="0" w:color="000000"/>
              <w:bottom w:val="none" w:sz="0" w:space="0" w:color="000000"/>
              <w:right w:val="none" w:sz="0" w:space="0" w:color="000000"/>
            </w:tcBorders>
            <w:vAlign w:val="center"/>
          </w:tcPr>
          <w:p w14:paraId="51A7C0D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none" w:sz="0" w:space="0" w:color="000000"/>
              <w:right w:val="none" w:sz="0" w:space="0" w:color="000000"/>
            </w:tcBorders>
            <w:vAlign w:val="center"/>
          </w:tcPr>
          <w:p w14:paraId="2B9DFCA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6.0%</w:t>
            </w:r>
          </w:p>
        </w:tc>
        <w:tc>
          <w:tcPr>
            <w:tcW w:w="1660" w:type="dxa"/>
            <w:tcBorders>
              <w:top w:val="none" w:sz="0" w:space="0" w:color="000000"/>
              <w:left w:val="none" w:sz="0" w:space="0" w:color="000000"/>
              <w:bottom w:val="none" w:sz="0" w:space="0" w:color="000000"/>
              <w:right w:val="none" w:sz="0" w:space="0" w:color="000000"/>
            </w:tcBorders>
            <w:vAlign w:val="center"/>
          </w:tcPr>
          <w:p w14:paraId="66F278D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none" w:sz="0" w:space="0" w:color="000000"/>
              <w:right w:val="none" w:sz="0" w:space="0" w:color="000000"/>
            </w:tcBorders>
            <w:vAlign w:val="center"/>
          </w:tcPr>
          <w:p w14:paraId="7F13D38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6.0%</w:t>
            </w:r>
          </w:p>
        </w:tc>
      </w:tr>
      <w:tr w:rsidR="00907E93" w:rsidRPr="008E1CAD" w14:paraId="62369E65" w14:textId="77777777" w:rsidTr="00AA719D">
        <w:trPr>
          <w:jc w:val="center"/>
        </w:trPr>
        <w:tc>
          <w:tcPr>
            <w:tcW w:w="1660" w:type="dxa"/>
            <w:tcBorders>
              <w:top w:val="none" w:sz="0" w:space="0" w:color="000000"/>
              <w:left w:val="none" w:sz="0" w:space="0" w:color="000000"/>
              <w:bottom w:val="none" w:sz="0" w:space="0" w:color="000000"/>
              <w:right w:val="none" w:sz="0" w:space="0" w:color="000000"/>
            </w:tcBorders>
            <w:vAlign w:val="center"/>
          </w:tcPr>
          <w:p w14:paraId="65049BB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lastRenderedPageBreak/>
              <w:t>Kd</w:t>
            </w:r>
          </w:p>
        </w:tc>
        <w:tc>
          <w:tcPr>
            <w:tcW w:w="1660" w:type="dxa"/>
            <w:tcBorders>
              <w:top w:val="none" w:sz="0" w:space="0" w:color="000000"/>
              <w:left w:val="none" w:sz="0" w:space="0" w:color="000000"/>
              <w:bottom w:val="none" w:sz="0" w:space="0" w:color="000000"/>
              <w:right w:val="none" w:sz="0" w:space="0" w:color="000000"/>
            </w:tcBorders>
            <w:vAlign w:val="center"/>
          </w:tcPr>
          <w:p w14:paraId="7CD7C27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none" w:sz="0" w:space="0" w:color="000000"/>
              <w:right w:val="none" w:sz="0" w:space="0" w:color="000000"/>
            </w:tcBorders>
            <w:vAlign w:val="center"/>
          </w:tcPr>
          <w:p w14:paraId="7C4BD4B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6.0%</w:t>
            </w:r>
          </w:p>
        </w:tc>
        <w:tc>
          <w:tcPr>
            <w:tcW w:w="1660" w:type="dxa"/>
            <w:tcBorders>
              <w:top w:val="none" w:sz="0" w:space="0" w:color="000000"/>
              <w:left w:val="none" w:sz="0" w:space="0" w:color="000000"/>
              <w:bottom w:val="none" w:sz="0" w:space="0" w:color="000000"/>
              <w:right w:val="none" w:sz="0" w:space="0" w:color="000000"/>
            </w:tcBorders>
            <w:vAlign w:val="center"/>
          </w:tcPr>
          <w:p w14:paraId="042BBAE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none" w:sz="0" w:space="0" w:color="000000"/>
              <w:right w:val="none" w:sz="0" w:space="0" w:color="000000"/>
            </w:tcBorders>
            <w:vAlign w:val="center"/>
          </w:tcPr>
          <w:p w14:paraId="1CAE351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6.0%</w:t>
            </w:r>
          </w:p>
        </w:tc>
      </w:tr>
      <w:tr w:rsidR="00907E93" w:rsidRPr="008E1CAD" w14:paraId="43E4AFC4" w14:textId="77777777" w:rsidTr="00AA719D">
        <w:trPr>
          <w:jc w:val="center"/>
        </w:trPr>
        <w:tc>
          <w:tcPr>
            <w:tcW w:w="1660" w:type="dxa"/>
            <w:tcBorders>
              <w:top w:val="none" w:sz="0" w:space="0" w:color="000000"/>
              <w:left w:val="none" w:sz="0" w:space="0" w:color="000000"/>
              <w:bottom w:val="single" w:sz="12" w:space="0" w:color="000000"/>
              <w:right w:val="none" w:sz="0" w:space="0" w:color="000000"/>
            </w:tcBorders>
            <w:vAlign w:val="center"/>
          </w:tcPr>
          <w:p w14:paraId="646784F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b/>
                <w:sz w:val="18"/>
              </w:rPr>
              <w:t>Rd</w:t>
            </w:r>
          </w:p>
        </w:tc>
        <w:tc>
          <w:tcPr>
            <w:tcW w:w="1660" w:type="dxa"/>
            <w:tcBorders>
              <w:top w:val="none" w:sz="0" w:space="0" w:color="000000"/>
              <w:left w:val="none" w:sz="0" w:space="0" w:color="000000"/>
              <w:bottom w:val="single" w:sz="12" w:space="0" w:color="000000"/>
              <w:right w:val="none" w:sz="0" w:space="0" w:color="000000"/>
            </w:tcBorders>
            <w:vAlign w:val="center"/>
          </w:tcPr>
          <w:p w14:paraId="7266119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single" w:sz="12" w:space="0" w:color="000000"/>
              <w:right w:val="none" w:sz="0" w:space="0" w:color="000000"/>
            </w:tcBorders>
            <w:vAlign w:val="center"/>
          </w:tcPr>
          <w:p w14:paraId="50BD975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8.0%</w:t>
            </w:r>
          </w:p>
        </w:tc>
        <w:tc>
          <w:tcPr>
            <w:tcW w:w="1660" w:type="dxa"/>
            <w:tcBorders>
              <w:top w:val="none" w:sz="0" w:space="0" w:color="000000"/>
              <w:left w:val="none" w:sz="0" w:space="0" w:color="000000"/>
              <w:bottom w:val="single" w:sz="12" w:space="0" w:color="000000"/>
              <w:right w:val="none" w:sz="0" w:space="0" w:color="000000"/>
            </w:tcBorders>
            <w:vAlign w:val="center"/>
          </w:tcPr>
          <w:p w14:paraId="1464859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w:t>
            </w:r>
          </w:p>
        </w:tc>
        <w:tc>
          <w:tcPr>
            <w:tcW w:w="1660" w:type="dxa"/>
            <w:tcBorders>
              <w:top w:val="none" w:sz="0" w:space="0" w:color="000000"/>
              <w:left w:val="none" w:sz="0" w:space="0" w:color="000000"/>
              <w:bottom w:val="single" w:sz="12" w:space="0" w:color="000000"/>
              <w:right w:val="none" w:sz="0" w:space="0" w:color="000000"/>
            </w:tcBorders>
            <w:vAlign w:val="center"/>
          </w:tcPr>
          <w:p w14:paraId="6F66555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8.0%</w:t>
            </w:r>
          </w:p>
        </w:tc>
      </w:tr>
    </w:tbl>
    <w:p w14:paraId="00D0D9A6" w14:textId="77777777" w:rsidR="00BB0AFF" w:rsidRPr="008E1CAD" w:rsidRDefault="00BB0AFF" w:rsidP="00BB0AFF">
      <w:pPr>
        <w:rPr>
          <w:rFonts w:ascii="Times New Roman" w:hAnsi="Times New Roman" w:cs="Times New Roman"/>
          <w:sz w:val="18"/>
          <w:szCs w:val="18"/>
        </w:rPr>
      </w:pPr>
      <w:r w:rsidRPr="008E1CAD">
        <w:rPr>
          <w:rFonts w:ascii="Times New Roman" w:hAnsi="Times New Roman" w:cs="Times New Roman"/>
          <w:sz w:val="18"/>
          <w:szCs w:val="18"/>
        </w:rPr>
        <w:t>Note: The regimen percentages are structural allocation weights used in the model and should not be interpreted as directly observed patient-level treatment-sequencing probabilities. Small differences from 100% may occur because of rounding.</w:t>
      </w:r>
    </w:p>
    <w:p w14:paraId="1BD7B340" w14:textId="33819DF7" w:rsidR="00CD4950" w:rsidRPr="008E1CAD" w:rsidRDefault="00CD4950" w:rsidP="00CD4950">
      <w:pPr>
        <w:rPr>
          <w:rFonts w:ascii="Times New Roman" w:hAnsi="Times New Roman" w:cs="Times New Roman"/>
          <w:sz w:val="18"/>
          <w:szCs w:val="18"/>
        </w:rPr>
      </w:pPr>
      <w:r w:rsidRPr="008E1CAD">
        <w:rPr>
          <w:rFonts w:ascii="Times New Roman" w:hAnsi="Times New Roman" w:cs="Times New Roman"/>
          <w:sz w:val="18"/>
          <w:szCs w:val="18"/>
        </w:rPr>
        <w:t xml:space="preserve">Dara Mono = daratumumab monotherapy; Dd = daratumumab plus dexamethasone; DPd = daratumumab, pomalidomide, and dexamethasone; DRd = daratumumab, lenalidomide, and dexamethasone; iCT IRd = </w:t>
      </w:r>
      <w:r w:rsidR="00663BC9" w:rsidRPr="008E1CAD">
        <w:rPr>
          <w:rFonts w:ascii="Times New Roman" w:hAnsi="Times New Roman" w:cs="Times New Roman"/>
          <w:sz w:val="18"/>
          <w:szCs w:val="18"/>
        </w:rPr>
        <w:t>in-class transition to ixazomib, lenalidomide, and dexamethasone</w:t>
      </w:r>
      <w:r w:rsidRPr="008E1CAD">
        <w:rPr>
          <w:rFonts w:ascii="Times New Roman" w:hAnsi="Times New Roman" w:cs="Times New Roman"/>
          <w:sz w:val="18"/>
          <w:szCs w:val="18"/>
        </w:rPr>
        <w:t>; Kd = carfilzomib plus dexamethasone; KRd = carfilzomib, lenalidomide, and dexamethasone; Pd = pomalidomide plus dexamethasone; Rd = lenalidomide plus dexamethasone; VCd = bortezomib, cyclophosphamide, and dexamethasone; VPd = bortezomib, pomalidomide, and dexamethasone.</w:t>
      </w:r>
    </w:p>
    <w:p w14:paraId="06509E1E" w14:textId="77777777" w:rsidR="00F727F5" w:rsidRPr="008E1CAD" w:rsidRDefault="00F727F5" w:rsidP="00CD4950">
      <w:pPr>
        <w:rPr>
          <w:rFonts w:ascii="Times New Roman" w:hAnsi="Times New Roman" w:cs="Times New Roman"/>
        </w:rPr>
      </w:pPr>
    </w:p>
    <w:p w14:paraId="71715370" w14:textId="28710042" w:rsidR="00F727F5" w:rsidRPr="008E1CAD" w:rsidRDefault="00F727F5" w:rsidP="00F727F5">
      <w:pPr>
        <w:pStyle w:val="21"/>
        <w:rPr>
          <w:rFonts w:cs="Times New Roman"/>
        </w:rPr>
      </w:pPr>
      <w:r w:rsidRPr="008E1CAD">
        <w:rPr>
          <w:rFonts w:cs="Times New Roman"/>
        </w:rPr>
        <w:t>2.6 Consolidated transition risks derived from the basket approach</w:t>
      </w:r>
    </w:p>
    <w:p w14:paraId="4A991D69" w14:textId="7D623518" w:rsidR="00F727F5" w:rsidRPr="008E1CAD" w:rsidRDefault="00F727F5" w:rsidP="00F727F5">
      <w:pPr>
        <w:rPr>
          <w:rFonts w:ascii="Times New Roman" w:hAnsi="Times New Roman" w:cs="Times New Roman"/>
        </w:rPr>
      </w:pPr>
      <w:r w:rsidRPr="008E1CAD">
        <w:rPr>
          <w:rFonts w:ascii="Times New Roman" w:hAnsi="Times New Roman" w:cs="Times New Roman"/>
        </w:rPr>
        <w:t xml:space="preserve">The regimen-specific monthly progression and </w:t>
      </w:r>
      <w:r w:rsidR="005B3087" w:rsidRPr="008E1CAD">
        <w:rPr>
          <w:rFonts w:ascii="Times New Roman" w:hAnsi="Times New Roman" w:cs="Times New Roman"/>
        </w:rPr>
        <w:t xml:space="preserve">post-progression </w:t>
      </w:r>
      <w:r w:rsidRPr="008E1CAD">
        <w:rPr>
          <w:rFonts w:ascii="Times New Roman" w:hAnsi="Times New Roman" w:cs="Times New Roman"/>
        </w:rPr>
        <w:t xml:space="preserve">mortality risks summarized in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427DBD">
        <w:rPr>
          <w:rFonts w:ascii="Times New Roman" w:hAnsi="Times New Roman" w:cs="Times New Roman" w:hint="eastAsia"/>
          <w:i/>
          <w:iCs/>
        </w:rPr>
        <w:t>5</w:t>
      </w:r>
      <w:r w:rsidR="00F95EB1" w:rsidRPr="008E1CAD">
        <w:rPr>
          <w:rFonts w:ascii="Times New Roman" w:hAnsi="Times New Roman" w:cs="Times New Roman"/>
        </w:rPr>
        <w:t xml:space="preserve"> </w:t>
      </w:r>
      <w:r w:rsidRPr="008E1CAD">
        <w:rPr>
          <w:rFonts w:ascii="Times New Roman" w:hAnsi="Times New Roman" w:cs="Times New Roman"/>
        </w:rPr>
        <w:t xml:space="preserve">were used as </w:t>
      </w:r>
      <w:r w:rsidR="006F0348" w:rsidRPr="008E1CAD">
        <w:rPr>
          <w:rFonts w:ascii="Times New Roman" w:hAnsi="Times New Roman" w:cs="Times New Roman"/>
        </w:rPr>
        <w:t>regimen-specific inputs</w:t>
      </w:r>
      <w:r w:rsidRPr="008E1CAD">
        <w:rPr>
          <w:rFonts w:ascii="Times New Roman" w:hAnsi="Times New Roman" w:cs="Times New Roman"/>
        </w:rPr>
        <w:t xml:space="preserve"> for the subsequent-line basket model, while the regimen utilization weights in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427DBD">
        <w:rPr>
          <w:rFonts w:ascii="Times New Roman" w:hAnsi="Times New Roman" w:cs="Times New Roman" w:hint="eastAsia"/>
          <w:i/>
          <w:iCs/>
        </w:rPr>
        <w:t>6</w:t>
      </w:r>
      <w:r w:rsidR="00F95EB1" w:rsidRPr="008E1CAD">
        <w:rPr>
          <w:rFonts w:ascii="Times New Roman" w:hAnsi="Times New Roman" w:cs="Times New Roman"/>
        </w:rPr>
        <w:t xml:space="preserve"> </w:t>
      </w:r>
      <w:r w:rsidRPr="008E1CAD">
        <w:rPr>
          <w:rFonts w:ascii="Times New Roman" w:hAnsi="Times New Roman" w:cs="Times New Roman"/>
        </w:rPr>
        <w:t xml:space="preserve">defined the relative contribution of each treatment option within each strategic pathway. These regimen-level values were not directly used as </w:t>
      </w:r>
      <w:r w:rsidR="006F0348" w:rsidRPr="008E1CAD">
        <w:rPr>
          <w:rFonts w:ascii="Times New Roman" w:hAnsi="Times New Roman" w:cs="Times New Roman"/>
        </w:rPr>
        <w:t>linear weighted averages</w:t>
      </w:r>
      <w:r w:rsidRPr="008E1CAD">
        <w:rPr>
          <w:rFonts w:ascii="Times New Roman" w:hAnsi="Times New Roman" w:cs="Times New Roman"/>
        </w:rPr>
        <w:t xml:space="preserve"> in the Markov model. Instead, the weighted baseline hazard factor (d) was first calculated using the corresponding regimen distribution matrix and was then entered into the non-linear sequence formula described in Section 2.1 to reflect the sequential use of multiple rescue regimens over the model time horizon.</w:t>
      </w:r>
    </w:p>
    <w:p w14:paraId="52BBF33D" w14:textId="3B9BDCEB" w:rsidR="00F727F5" w:rsidRPr="008E1CAD" w:rsidRDefault="00F727F5" w:rsidP="00F727F5">
      <w:pPr>
        <w:rPr>
          <w:rFonts w:ascii="Times New Roman" w:hAnsi="Times New Roman" w:cs="Times New Roman"/>
        </w:rPr>
      </w:pPr>
      <w:r w:rsidRPr="008E1CAD">
        <w:rPr>
          <w:rFonts w:ascii="Times New Roman" w:hAnsi="Times New Roman" w:cs="Times New Roman"/>
        </w:rPr>
        <w:t xml:space="preserve">Using this approach, the consolidated monthly progression risk during subsequent continuous therapy was estimated as 0.037 for the iCT IRd pathway and 0.064 for the DRd pathway. The corresponding consolidated monthly post-progression mortality risk was estimated as 0.012 for the iCT IRd pathway and 0.022 for the DRd pathway. These consolidated values were used as the model inputs reported in Table 1 of the main manuscript. Therefore, they should be interpreted as sequence-adjusted composite transition risks derived from the basket approach, rather than as simple weighted averages of the regimen-level risks shown in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427DBD">
        <w:rPr>
          <w:rFonts w:ascii="Times New Roman" w:hAnsi="Times New Roman" w:cs="Times New Roman" w:hint="eastAsia"/>
          <w:i/>
          <w:iCs/>
        </w:rPr>
        <w:t>5</w:t>
      </w:r>
      <w:r w:rsidRPr="008E1CAD">
        <w:rPr>
          <w:rFonts w:ascii="Times New Roman" w:hAnsi="Times New Roman" w:cs="Times New Roman"/>
        </w:rPr>
        <w:t>.</w:t>
      </w:r>
    </w:p>
    <w:p w14:paraId="2BEDAC48" w14:textId="065CF624" w:rsidR="00907E93" w:rsidRPr="008E1CAD" w:rsidRDefault="00000000" w:rsidP="00DB2FAD">
      <w:pPr>
        <w:pStyle w:val="1"/>
      </w:pPr>
      <w:r w:rsidRPr="008E1CAD">
        <w:t xml:space="preserve">Section </w:t>
      </w:r>
      <w:r w:rsidR="00D021A0" w:rsidRPr="008E1CAD">
        <w:t>3</w:t>
      </w:r>
      <w:r w:rsidRPr="008E1CAD">
        <w:t>: P</w:t>
      </w:r>
      <w:r w:rsidR="00090FCB" w:rsidRPr="008E1CAD">
        <w:t xml:space="preserve">robabilistic sensitivity analysis </w:t>
      </w:r>
      <w:r w:rsidRPr="008E1CAD">
        <w:t xml:space="preserve">(PSA) </w:t>
      </w:r>
      <w:r w:rsidR="00090FCB" w:rsidRPr="008E1CAD">
        <w:t>parameter distributions</w:t>
      </w:r>
    </w:p>
    <w:p w14:paraId="1D7AB949" w14:textId="08419B20" w:rsidR="00791969" w:rsidRPr="008E1CAD" w:rsidRDefault="00791969" w:rsidP="00791969">
      <w:pPr>
        <w:spacing w:after="120"/>
        <w:rPr>
          <w:rFonts w:ascii="Times New Roman" w:hAnsi="Times New Roman" w:cs="Times New Roman"/>
        </w:rPr>
      </w:pPr>
      <w:r w:rsidRPr="008E1CAD">
        <w:rPr>
          <w:rFonts w:ascii="Times New Roman" w:hAnsi="Times New Roman" w:cs="Times New Roman"/>
        </w:rPr>
        <w:t xml:space="preserve">In accordance with professional HTA modeling guidance, parameters were generally included in the PSA when empirical 95% CIs were available, to support an evidence-based characterization of parameter uncertainty. Parameters with documented 95% CIs were mapped to standard probability distributions for 5,000 Monte Carlo iterations. Normal distributions were used for baseline metrics, whereas </w:t>
      </w:r>
      <w:r w:rsidR="006F0348" w:rsidRPr="008E1CAD">
        <w:rPr>
          <w:rFonts w:ascii="Times New Roman" w:hAnsi="Times New Roman" w:cs="Times New Roman"/>
        </w:rPr>
        <w:t>b</w:t>
      </w:r>
      <w:r w:rsidRPr="008E1CAD">
        <w:rPr>
          <w:rFonts w:ascii="Times New Roman" w:hAnsi="Times New Roman" w:cs="Times New Roman"/>
        </w:rPr>
        <w:t>eta distributions were assigned to probabilities, rates, and ratios bounded between 0 and 1, with shape parameters (α, β) calculated from the corresponding variance estimates.</w:t>
      </w:r>
    </w:p>
    <w:p w14:paraId="2EDC236F" w14:textId="57E8C82E" w:rsidR="00DE41FB" w:rsidRPr="008E1CAD" w:rsidRDefault="00A01AE5">
      <w:pPr>
        <w:spacing w:before="120" w:after="120"/>
        <w:rPr>
          <w:rFonts w:ascii="Times New Roman" w:hAnsi="Times New Roman" w:cs="Times New Roman"/>
        </w:rPr>
      </w:pPr>
      <w:r w:rsidRPr="008E1CAD">
        <w:rPr>
          <w:rFonts w:ascii="Times New Roman" w:hAnsi="Times New Roman" w:cs="Times New Roman"/>
        </w:rPr>
        <w:t xml:space="preserve">Four parameters were retained in the PSA despite the absence of reported empirical 95% CIs: (1) proportion of discontinuations due to PD: DRd; (2) monthly progression risk following front-line discontinuation for non-PD reasons (residual effects): iCT IRd; (3) subsequent-line monthly post-progression mortality risk: DRd; and (4) subsequent-line monthly post-progression mortality risk: Dd. These exceptions were made because the corresponding parameters in the comparator arms or other regimens within the same treatment-basket parameter category had empirical 95% CIs and were therefore varied probabilistically. Treating these pathway- or regimen-specific parameters as deterministic while allowing analogous parameters to vary would likely </w:t>
      </w:r>
      <w:r w:rsidRPr="008E1CAD">
        <w:rPr>
          <w:rFonts w:ascii="Times New Roman" w:hAnsi="Times New Roman" w:cs="Times New Roman"/>
        </w:rPr>
        <w:lastRenderedPageBreak/>
        <w:t xml:space="preserve">underestimate uncertainty and reduce comparability across treatment pathways and regimen-level basket inputs. To maintain consistent uncertainty propagation across treatment pathways and subsequent-line basket components, conservative uncertainty ranges of ±25% around the baseline values were applied for these four parameters, and the resulting variances were used to derive the corresponding standard errors and distribution parameters. </w:t>
      </w:r>
    </w:p>
    <w:p w14:paraId="4F63ABC2" w14:textId="77777777" w:rsidR="00F95EB1" w:rsidRDefault="00F95EB1">
      <w:pPr>
        <w:spacing w:before="120" w:after="120"/>
        <w:rPr>
          <w:rFonts w:ascii="Times New Roman" w:eastAsia="Times New Roman" w:hAnsi="Times New Roman" w:cs="Times New Roman"/>
          <w:b/>
          <w:i/>
          <w:sz w:val="18"/>
        </w:rPr>
      </w:pPr>
    </w:p>
    <w:p w14:paraId="3B1DF324" w14:textId="6576FF4E" w:rsidR="00907E93" w:rsidRPr="008E1CAD" w:rsidRDefault="00000000">
      <w:pPr>
        <w:spacing w:before="120" w:after="120"/>
        <w:rPr>
          <w:rFonts w:ascii="Times New Roman" w:hAnsi="Times New Roman" w:cs="Times New Roman"/>
        </w:rPr>
      </w:pPr>
      <w:r w:rsidRPr="008E1CAD">
        <w:rPr>
          <w:rFonts w:ascii="Times New Roman" w:eastAsia="Times New Roman" w:hAnsi="Times New Roman" w:cs="Times New Roman"/>
          <w:b/>
          <w:i/>
          <w:sz w:val="18"/>
        </w:rPr>
        <w:t xml:space="preserve">Table </w:t>
      </w:r>
      <w:r w:rsidR="00F95EB1" w:rsidRPr="008E1CAD">
        <w:rPr>
          <w:rFonts w:ascii="Times New Roman" w:eastAsia="Times New Roman" w:hAnsi="Times New Roman" w:cs="Times New Roman"/>
          <w:b/>
          <w:i/>
          <w:sz w:val="18"/>
        </w:rPr>
        <w:t>S</w:t>
      </w:r>
      <w:r w:rsidR="00427DBD">
        <w:rPr>
          <w:rFonts w:ascii="Times New Roman" w:eastAsia="Times New Roman" w:hAnsi="Times New Roman" w:cs="Times New Roman" w:hint="eastAsia"/>
          <w:b/>
          <w:i/>
          <w:sz w:val="18"/>
        </w:rPr>
        <w:t>7</w:t>
      </w:r>
      <w:r w:rsidRPr="008E1CAD">
        <w:rPr>
          <w:rFonts w:ascii="Times New Roman" w:eastAsia="Times New Roman" w:hAnsi="Times New Roman" w:cs="Times New Roman"/>
          <w:b/>
          <w:i/>
          <w:sz w:val="18"/>
        </w:rPr>
        <w:t xml:space="preserve">. </w:t>
      </w:r>
      <w:r w:rsidR="006F0348" w:rsidRPr="008E1CAD">
        <w:rPr>
          <w:rFonts w:ascii="Times New Roman" w:eastAsia="Times New Roman" w:hAnsi="Times New Roman" w:cs="Times New Roman"/>
          <w:i/>
          <w:sz w:val="18"/>
        </w:rPr>
        <w:t>Probabilistic sensitivity analysis parameter distributions and distribution parameters.</w:t>
      </w:r>
    </w:p>
    <w:tbl>
      <w:tblPr>
        <w:tblW w:w="0" w:type="auto"/>
        <w:jc w:val="cente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Look w:val="04A0" w:firstRow="1" w:lastRow="0" w:firstColumn="1" w:lastColumn="0" w:noHBand="0" w:noVBand="1"/>
      </w:tblPr>
      <w:tblGrid>
        <w:gridCol w:w="1463"/>
        <w:gridCol w:w="1135"/>
        <w:gridCol w:w="1112"/>
        <w:gridCol w:w="1111"/>
        <w:gridCol w:w="1179"/>
        <w:gridCol w:w="1150"/>
        <w:gridCol w:w="1150"/>
      </w:tblGrid>
      <w:tr w:rsidR="00907E93" w:rsidRPr="008E1CAD" w14:paraId="652C3121" w14:textId="77777777" w:rsidTr="00AA719D">
        <w:trPr>
          <w:tblHeader/>
          <w:jc w:val="center"/>
        </w:trPr>
        <w:tc>
          <w:tcPr>
            <w:tcW w:w="1366" w:type="dxa"/>
            <w:tcBorders>
              <w:top w:val="single" w:sz="12" w:space="0" w:color="000000"/>
              <w:left w:val="none" w:sz="0" w:space="0" w:color="000000"/>
              <w:bottom w:val="single" w:sz="6" w:space="0" w:color="000000"/>
              <w:right w:val="none" w:sz="0" w:space="0" w:color="000000"/>
            </w:tcBorders>
            <w:vAlign w:val="center"/>
          </w:tcPr>
          <w:p w14:paraId="070588C5" w14:textId="359393A9" w:rsidR="00907E93" w:rsidRPr="008E1CAD" w:rsidRDefault="003F4001"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P</w:t>
            </w:r>
            <w:r w:rsidR="00090FCB" w:rsidRPr="008E1CAD">
              <w:rPr>
                <w:rFonts w:ascii="Times New Roman" w:eastAsia="Times New Roman" w:hAnsi="Times New Roman" w:cs="Times New Roman"/>
                <w:b/>
                <w:sz w:val="18"/>
              </w:rPr>
              <w:t>arameter</w:t>
            </w:r>
            <w:r w:rsidRPr="008E1CAD">
              <w:rPr>
                <w:rFonts w:ascii="Times New Roman" w:eastAsia="Times New Roman" w:hAnsi="Times New Roman" w:cs="Times New Roman"/>
                <w:b/>
                <w:sz w:val="18"/>
              </w:rPr>
              <w:t>s</w:t>
            </w:r>
          </w:p>
        </w:tc>
        <w:tc>
          <w:tcPr>
            <w:tcW w:w="1154" w:type="dxa"/>
            <w:tcBorders>
              <w:top w:val="single" w:sz="12" w:space="0" w:color="000000"/>
              <w:left w:val="none" w:sz="0" w:space="0" w:color="000000"/>
              <w:bottom w:val="single" w:sz="6" w:space="0" w:color="000000"/>
              <w:right w:val="none" w:sz="0" w:space="0" w:color="000000"/>
            </w:tcBorders>
            <w:vAlign w:val="center"/>
          </w:tcPr>
          <w:p w14:paraId="7A5C9520" w14:textId="66511355"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Baseline</w:t>
            </w:r>
          </w:p>
        </w:tc>
        <w:tc>
          <w:tcPr>
            <w:tcW w:w="1141" w:type="dxa"/>
            <w:tcBorders>
              <w:top w:val="single" w:sz="12" w:space="0" w:color="000000"/>
              <w:left w:val="none" w:sz="0" w:space="0" w:color="000000"/>
              <w:bottom w:val="single" w:sz="6" w:space="0" w:color="000000"/>
              <w:right w:val="none" w:sz="0" w:space="0" w:color="000000"/>
            </w:tcBorders>
            <w:vAlign w:val="center"/>
          </w:tcPr>
          <w:p w14:paraId="4CD1E93B" w14:textId="2B9A29BF"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95% CI</w:t>
            </w:r>
            <w:r w:rsidR="00F809B8" w:rsidRPr="008E1CAD">
              <w:rPr>
                <w:rFonts w:ascii="Times New Roman" w:eastAsia="Times New Roman" w:hAnsi="Times New Roman" w:cs="Times New Roman"/>
                <w:b/>
                <w:sz w:val="18"/>
              </w:rPr>
              <w:t xml:space="preserve"> l</w:t>
            </w:r>
            <w:r w:rsidRPr="008E1CAD">
              <w:rPr>
                <w:rFonts w:ascii="Times New Roman" w:eastAsia="Times New Roman" w:hAnsi="Times New Roman" w:cs="Times New Roman"/>
                <w:b/>
                <w:sz w:val="18"/>
              </w:rPr>
              <w:t>ower</w:t>
            </w:r>
          </w:p>
        </w:tc>
        <w:tc>
          <w:tcPr>
            <w:tcW w:w="1140" w:type="dxa"/>
            <w:tcBorders>
              <w:top w:val="single" w:sz="12" w:space="0" w:color="000000"/>
              <w:left w:val="none" w:sz="0" w:space="0" w:color="000000"/>
              <w:bottom w:val="single" w:sz="6" w:space="0" w:color="000000"/>
              <w:right w:val="none" w:sz="0" w:space="0" w:color="000000"/>
            </w:tcBorders>
            <w:vAlign w:val="center"/>
          </w:tcPr>
          <w:p w14:paraId="2BED58F9" w14:textId="41F06553"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95% CI</w:t>
            </w:r>
            <w:r w:rsidR="00F809B8" w:rsidRPr="008E1CAD">
              <w:rPr>
                <w:rFonts w:ascii="Times New Roman" w:eastAsia="Times New Roman" w:hAnsi="Times New Roman" w:cs="Times New Roman"/>
                <w:b/>
                <w:sz w:val="18"/>
              </w:rPr>
              <w:t xml:space="preserve"> u</w:t>
            </w:r>
            <w:r w:rsidRPr="008E1CAD">
              <w:rPr>
                <w:rFonts w:ascii="Times New Roman" w:eastAsia="Times New Roman" w:hAnsi="Times New Roman" w:cs="Times New Roman"/>
                <w:b/>
                <w:sz w:val="18"/>
              </w:rPr>
              <w:t>pper</w:t>
            </w:r>
          </w:p>
        </w:tc>
        <w:tc>
          <w:tcPr>
            <w:tcW w:w="1183" w:type="dxa"/>
            <w:tcBorders>
              <w:top w:val="single" w:sz="12" w:space="0" w:color="000000"/>
              <w:left w:val="none" w:sz="0" w:space="0" w:color="000000"/>
              <w:bottom w:val="single" w:sz="6" w:space="0" w:color="000000"/>
              <w:right w:val="none" w:sz="0" w:space="0" w:color="000000"/>
            </w:tcBorders>
            <w:vAlign w:val="center"/>
          </w:tcPr>
          <w:p w14:paraId="4B7B0872" w14:textId="4DF925EC"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As</w:t>
            </w:r>
            <w:r w:rsidR="00090FCB" w:rsidRPr="008E1CAD">
              <w:rPr>
                <w:rFonts w:ascii="Times New Roman" w:eastAsia="Times New Roman" w:hAnsi="Times New Roman" w:cs="Times New Roman"/>
                <w:b/>
                <w:sz w:val="18"/>
              </w:rPr>
              <w:t>signed</w:t>
            </w:r>
            <w:r w:rsidR="00F809B8" w:rsidRPr="008E1CAD">
              <w:rPr>
                <w:rFonts w:ascii="Times New Roman" w:eastAsia="Times New Roman" w:hAnsi="Times New Roman" w:cs="Times New Roman"/>
                <w:b/>
                <w:sz w:val="18"/>
              </w:rPr>
              <w:t xml:space="preserve"> </w:t>
            </w:r>
            <w:r w:rsidR="00090FCB" w:rsidRPr="008E1CAD">
              <w:rPr>
                <w:rFonts w:ascii="Times New Roman" w:eastAsia="Times New Roman" w:hAnsi="Times New Roman" w:cs="Times New Roman"/>
                <w:b/>
                <w:sz w:val="18"/>
              </w:rPr>
              <w:t>distribution</w:t>
            </w:r>
          </w:p>
        </w:tc>
        <w:tc>
          <w:tcPr>
            <w:tcW w:w="1158" w:type="dxa"/>
            <w:tcBorders>
              <w:top w:val="single" w:sz="12" w:space="0" w:color="000000"/>
              <w:left w:val="none" w:sz="0" w:space="0" w:color="000000"/>
              <w:bottom w:val="single" w:sz="6" w:space="0" w:color="000000"/>
              <w:right w:val="none" w:sz="0" w:space="0" w:color="000000"/>
            </w:tcBorders>
            <w:vAlign w:val="center"/>
          </w:tcPr>
          <w:p w14:paraId="49FFDBE6" w14:textId="4DDE2A7E"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 xml:space="preserve">α </w:t>
            </w:r>
            <w:r w:rsidR="00090FCB" w:rsidRPr="008E1CAD">
              <w:rPr>
                <w:rFonts w:ascii="Times New Roman" w:eastAsia="Times New Roman" w:hAnsi="Times New Roman" w:cs="Times New Roman"/>
                <w:b/>
                <w:sz w:val="18"/>
              </w:rPr>
              <w:t>shape</w:t>
            </w:r>
            <w:r w:rsidR="00F809B8" w:rsidRPr="008E1CAD">
              <w:rPr>
                <w:rFonts w:ascii="Times New Roman" w:eastAsia="Times New Roman" w:hAnsi="Times New Roman" w:cs="Times New Roman"/>
                <w:b/>
                <w:sz w:val="18"/>
              </w:rPr>
              <w:t xml:space="preserve"> parameter</w:t>
            </w:r>
          </w:p>
        </w:tc>
        <w:tc>
          <w:tcPr>
            <w:tcW w:w="1158" w:type="dxa"/>
            <w:tcBorders>
              <w:top w:val="single" w:sz="12" w:space="0" w:color="000000"/>
              <w:left w:val="none" w:sz="0" w:space="0" w:color="000000"/>
              <w:bottom w:val="single" w:sz="6" w:space="0" w:color="000000"/>
              <w:right w:val="none" w:sz="0" w:space="0" w:color="000000"/>
            </w:tcBorders>
            <w:vAlign w:val="center"/>
          </w:tcPr>
          <w:p w14:paraId="77A3E244" w14:textId="593486B5" w:rsidR="00907E93" w:rsidRPr="008E1CAD" w:rsidRDefault="00000000" w:rsidP="003F4001">
            <w:pPr>
              <w:spacing w:before="40" w:after="40"/>
              <w:jc w:val="center"/>
              <w:rPr>
                <w:rFonts w:ascii="Times New Roman" w:hAnsi="Times New Roman" w:cs="Times New Roman"/>
              </w:rPr>
            </w:pPr>
            <w:r w:rsidRPr="008E1CAD">
              <w:rPr>
                <w:rFonts w:ascii="Times New Roman" w:eastAsia="Times New Roman" w:hAnsi="Times New Roman" w:cs="Times New Roman"/>
                <w:b/>
                <w:sz w:val="18"/>
              </w:rPr>
              <w:t xml:space="preserve">β </w:t>
            </w:r>
            <w:r w:rsidR="00090FCB" w:rsidRPr="008E1CAD">
              <w:rPr>
                <w:rFonts w:ascii="Times New Roman" w:eastAsia="Times New Roman" w:hAnsi="Times New Roman" w:cs="Times New Roman"/>
                <w:b/>
                <w:sz w:val="18"/>
              </w:rPr>
              <w:t>shape</w:t>
            </w:r>
            <w:r w:rsidR="00F809B8" w:rsidRPr="008E1CAD">
              <w:rPr>
                <w:rFonts w:ascii="Times New Roman" w:eastAsia="Times New Roman" w:hAnsi="Times New Roman" w:cs="Times New Roman"/>
                <w:b/>
                <w:sz w:val="18"/>
              </w:rPr>
              <w:t xml:space="preserve"> parameter</w:t>
            </w:r>
          </w:p>
        </w:tc>
      </w:tr>
      <w:tr w:rsidR="008E6781" w:rsidRPr="008E1CAD" w14:paraId="2FC9089D"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vAlign w:val="center"/>
          </w:tcPr>
          <w:p w14:paraId="18F5FBC9" w14:textId="6DDFBA50" w:rsidR="008E6781" w:rsidRPr="008E1CAD" w:rsidRDefault="008E6781" w:rsidP="008E6781">
            <w:pPr>
              <w:spacing w:before="40" w:after="40"/>
              <w:jc w:val="both"/>
              <w:rPr>
                <w:rFonts w:ascii="Times New Roman" w:hAnsi="Times New Roman" w:cs="Times New Roman"/>
              </w:rPr>
            </w:pPr>
            <w:r w:rsidRPr="008E1CAD">
              <w:rPr>
                <w:rFonts w:ascii="Times New Roman" w:eastAsia="Times New Roman" w:hAnsi="Times New Roman" w:cs="Times New Roman"/>
                <w:b/>
                <w:sz w:val="18"/>
              </w:rPr>
              <w:t>Demographics</w:t>
            </w:r>
          </w:p>
        </w:tc>
      </w:tr>
      <w:tr w:rsidR="00907E93" w:rsidRPr="008E1CAD" w14:paraId="05582418"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4E5C4A86" w14:textId="7DDE03A5"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 xml:space="preserve">Male </w:t>
            </w:r>
            <w:r w:rsidR="00F809B8" w:rsidRPr="008E1CAD">
              <w:rPr>
                <w:rFonts w:ascii="Times New Roman" w:eastAsia="Times New Roman" w:hAnsi="Times New Roman" w:cs="Times New Roman"/>
                <w:sz w:val="18"/>
              </w:rPr>
              <w:t>sex</w:t>
            </w:r>
            <w:r w:rsidRPr="008E1CAD">
              <w:rPr>
                <w:rFonts w:ascii="Times New Roman" w:eastAsia="Times New Roman" w:hAnsi="Times New Roman" w:cs="Times New Roman"/>
                <w:sz w:val="18"/>
              </w:rPr>
              <w:t xml:space="preserve"> (%)</w:t>
            </w:r>
          </w:p>
        </w:tc>
        <w:tc>
          <w:tcPr>
            <w:tcW w:w="1154" w:type="dxa"/>
            <w:tcBorders>
              <w:top w:val="none" w:sz="0" w:space="0" w:color="000000"/>
              <w:left w:val="none" w:sz="0" w:space="0" w:color="000000"/>
              <w:bottom w:val="none" w:sz="0" w:space="0" w:color="000000"/>
              <w:right w:val="none" w:sz="0" w:space="0" w:color="000000"/>
            </w:tcBorders>
            <w:vAlign w:val="center"/>
          </w:tcPr>
          <w:p w14:paraId="45A3C83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57.2%</w:t>
            </w:r>
          </w:p>
        </w:tc>
        <w:tc>
          <w:tcPr>
            <w:tcW w:w="1141" w:type="dxa"/>
            <w:tcBorders>
              <w:top w:val="none" w:sz="0" w:space="0" w:color="000000"/>
              <w:left w:val="none" w:sz="0" w:space="0" w:color="000000"/>
              <w:bottom w:val="none" w:sz="0" w:space="0" w:color="000000"/>
              <w:right w:val="none" w:sz="0" w:space="0" w:color="000000"/>
            </w:tcBorders>
            <w:vAlign w:val="center"/>
          </w:tcPr>
          <w:p w14:paraId="37443E5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56.1%</w:t>
            </w:r>
          </w:p>
        </w:tc>
        <w:tc>
          <w:tcPr>
            <w:tcW w:w="1140" w:type="dxa"/>
            <w:tcBorders>
              <w:top w:val="none" w:sz="0" w:space="0" w:color="000000"/>
              <w:left w:val="none" w:sz="0" w:space="0" w:color="000000"/>
              <w:bottom w:val="none" w:sz="0" w:space="0" w:color="000000"/>
              <w:right w:val="none" w:sz="0" w:space="0" w:color="000000"/>
            </w:tcBorders>
            <w:vAlign w:val="center"/>
          </w:tcPr>
          <w:p w14:paraId="50188C6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58.2%</w:t>
            </w:r>
          </w:p>
        </w:tc>
        <w:tc>
          <w:tcPr>
            <w:tcW w:w="1183" w:type="dxa"/>
            <w:tcBorders>
              <w:top w:val="none" w:sz="0" w:space="0" w:color="000000"/>
              <w:left w:val="none" w:sz="0" w:space="0" w:color="000000"/>
              <w:bottom w:val="none" w:sz="0" w:space="0" w:color="000000"/>
              <w:right w:val="none" w:sz="0" w:space="0" w:color="000000"/>
            </w:tcBorders>
            <w:vAlign w:val="center"/>
          </w:tcPr>
          <w:p w14:paraId="58D06FB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F59AC5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4878.861</w:t>
            </w:r>
          </w:p>
        </w:tc>
        <w:tc>
          <w:tcPr>
            <w:tcW w:w="1158" w:type="dxa"/>
            <w:tcBorders>
              <w:top w:val="none" w:sz="0" w:space="0" w:color="000000"/>
              <w:left w:val="none" w:sz="0" w:space="0" w:color="000000"/>
              <w:bottom w:val="none" w:sz="0" w:space="0" w:color="000000"/>
              <w:right w:val="none" w:sz="0" w:space="0" w:color="000000"/>
            </w:tcBorders>
            <w:vAlign w:val="center"/>
          </w:tcPr>
          <w:p w14:paraId="3E34A98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3650.616</w:t>
            </w:r>
          </w:p>
        </w:tc>
      </w:tr>
      <w:tr w:rsidR="00907E93" w:rsidRPr="008E1CAD" w14:paraId="3E39246A"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216D58DB" w14:textId="31D539B5"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Age (</w:t>
            </w:r>
            <w:r w:rsidR="00AA6134" w:rsidRPr="008E1CAD">
              <w:rPr>
                <w:rFonts w:ascii="Times New Roman" w:eastAsia="Times New Roman" w:hAnsi="Times New Roman" w:cs="Times New Roman"/>
                <w:sz w:val="18"/>
              </w:rPr>
              <w:t>y</w:t>
            </w:r>
            <w:r w:rsidRPr="008E1CAD">
              <w:rPr>
                <w:rFonts w:ascii="Times New Roman" w:eastAsia="Times New Roman" w:hAnsi="Times New Roman" w:cs="Times New Roman"/>
                <w:sz w:val="18"/>
              </w:rPr>
              <w:t>ears)</w:t>
            </w:r>
          </w:p>
        </w:tc>
        <w:tc>
          <w:tcPr>
            <w:tcW w:w="1154" w:type="dxa"/>
            <w:tcBorders>
              <w:top w:val="none" w:sz="0" w:space="0" w:color="000000"/>
              <w:left w:val="none" w:sz="0" w:space="0" w:color="000000"/>
              <w:bottom w:val="none" w:sz="0" w:space="0" w:color="000000"/>
              <w:right w:val="none" w:sz="0" w:space="0" w:color="000000"/>
            </w:tcBorders>
            <w:vAlign w:val="center"/>
          </w:tcPr>
          <w:p w14:paraId="7AF67C8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60.5</w:t>
            </w:r>
          </w:p>
        </w:tc>
        <w:tc>
          <w:tcPr>
            <w:tcW w:w="1141" w:type="dxa"/>
            <w:tcBorders>
              <w:top w:val="none" w:sz="0" w:space="0" w:color="000000"/>
              <w:left w:val="none" w:sz="0" w:space="0" w:color="000000"/>
              <w:bottom w:val="none" w:sz="0" w:space="0" w:color="000000"/>
              <w:right w:val="none" w:sz="0" w:space="0" w:color="000000"/>
            </w:tcBorders>
            <w:vAlign w:val="center"/>
          </w:tcPr>
          <w:p w14:paraId="5D1374D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59.2</w:t>
            </w:r>
          </w:p>
        </w:tc>
        <w:tc>
          <w:tcPr>
            <w:tcW w:w="1140" w:type="dxa"/>
            <w:tcBorders>
              <w:top w:val="none" w:sz="0" w:space="0" w:color="000000"/>
              <w:left w:val="none" w:sz="0" w:space="0" w:color="000000"/>
              <w:bottom w:val="none" w:sz="0" w:space="0" w:color="000000"/>
              <w:right w:val="none" w:sz="0" w:space="0" w:color="000000"/>
            </w:tcBorders>
            <w:vAlign w:val="center"/>
          </w:tcPr>
          <w:p w14:paraId="4E7678C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61.8</w:t>
            </w:r>
          </w:p>
        </w:tc>
        <w:tc>
          <w:tcPr>
            <w:tcW w:w="1183" w:type="dxa"/>
            <w:tcBorders>
              <w:top w:val="none" w:sz="0" w:space="0" w:color="000000"/>
              <w:left w:val="none" w:sz="0" w:space="0" w:color="000000"/>
              <w:bottom w:val="none" w:sz="0" w:space="0" w:color="000000"/>
              <w:right w:val="none" w:sz="0" w:space="0" w:color="000000"/>
            </w:tcBorders>
            <w:vAlign w:val="center"/>
          </w:tcPr>
          <w:p w14:paraId="3204633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Normal (σ=0.674)</w:t>
            </w:r>
          </w:p>
        </w:tc>
        <w:tc>
          <w:tcPr>
            <w:tcW w:w="1158" w:type="dxa"/>
            <w:tcBorders>
              <w:top w:val="none" w:sz="0" w:space="0" w:color="000000"/>
              <w:left w:val="none" w:sz="0" w:space="0" w:color="000000"/>
              <w:bottom w:val="none" w:sz="0" w:space="0" w:color="000000"/>
              <w:right w:val="none" w:sz="0" w:space="0" w:color="000000"/>
            </w:tcBorders>
            <w:vAlign w:val="center"/>
          </w:tcPr>
          <w:p w14:paraId="6D5F885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158" w:type="dxa"/>
            <w:tcBorders>
              <w:top w:val="none" w:sz="0" w:space="0" w:color="000000"/>
              <w:left w:val="none" w:sz="0" w:space="0" w:color="000000"/>
              <w:bottom w:val="none" w:sz="0" w:space="0" w:color="000000"/>
              <w:right w:val="none" w:sz="0" w:space="0" w:color="000000"/>
            </w:tcBorders>
            <w:vAlign w:val="center"/>
          </w:tcPr>
          <w:p w14:paraId="04FECE3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r>
      <w:tr w:rsidR="00907E93" w:rsidRPr="008E1CAD" w14:paraId="1A4478B7"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136BE97" w14:textId="43C4BEFD" w:rsidR="00907E93" w:rsidRPr="008E1CAD" w:rsidRDefault="00AA6134">
            <w:pPr>
              <w:spacing w:before="40" w:after="40"/>
              <w:rPr>
                <w:rFonts w:ascii="Times New Roman" w:hAnsi="Times New Roman" w:cs="Times New Roman"/>
              </w:rPr>
            </w:pPr>
            <w:r w:rsidRPr="008E1CAD">
              <w:rPr>
                <w:rFonts w:ascii="Times New Roman" w:eastAsia="Times New Roman" w:hAnsi="Times New Roman" w:cs="Times New Roman"/>
                <w:sz w:val="18"/>
              </w:rPr>
              <w:t>Weight (kg)</w:t>
            </w:r>
          </w:p>
        </w:tc>
        <w:tc>
          <w:tcPr>
            <w:tcW w:w="1154" w:type="dxa"/>
            <w:tcBorders>
              <w:top w:val="none" w:sz="0" w:space="0" w:color="000000"/>
              <w:left w:val="none" w:sz="0" w:space="0" w:color="000000"/>
              <w:bottom w:val="none" w:sz="0" w:space="0" w:color="000000"/>
              <w:right w:val="none" w:sz="0" w:space="0" w:color="000000"/>
            </w:tcBorders>
            <w:vAlign w:val="center"/>
          </w:tcPr>
          <w:p w14:paraId="1C3A76A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64.0</w:t>
            </w:r>
          </w:p>
        </w:tc>
        <w:tc>
          <w:tcPr>
            <w:tcW w:w="1141" w:type="dxa"/>
            <w:tcBorders>
              <w:top w:val="none" w:sz="0" w:space="0" w:color="000000"/>
              <w:left w:val="none" w:sz="0" w:space="0" w:color="000000"/>
              <w:bottom w:val="none" w:sz="0" w:space="0" w:color="000000"/>
              <w:right w:val="none" w:sz="0" w:space="0" w:color="000000"/>
            </w:tcBorders>
            <w:vAlign w:val="center"/>
          </w:tcPr>
          <w:p w14:paraId="09E6CFA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61.5</w:t>
            </w:r>
          </w:p>
        </w:tc>
        <w:tc>
          <w:tcPr>
            <w:tcW w:w="1140" w:type="dxa"/>
            <w:tcBorders>
              <w:top w:val="none" w:sz="0" w:space="0" w:color="000000"/>
              <w:left w:val="none" w:sz="0" w:space="0" w:color="000000"/>
              <w:bottom w:val="none" w:sz="0" w:space="0" w:color="000000"/>
              <w:right w:val="none" w:sz="0" w:space="0" w:color="000000"/>
            </w:tcBorders>
            <w:vAlign w:val="center"/>
          </w:tcPr>
          <w:p w14:paraId="76B9954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66.5</w:t>
            </w:r>
          </w:p>
        </w:tc>
        <w:tc>
          <w:tcPr>
            <w:tcW w:w="1183" w:type="dxa"/>
            <w:tcBorders>
              <w:top w:val="none" w:sz="0" w:space="0" w:color="000000"/>
              <w:left w:val="none" w:sz="0" w:space="0" w:color="000000"/>
              <w:bottom w:val="none" w:sz="0" w:space="0" w:color="000000"/>
              <w:right w:val="none" w:sz="0" w:space="0" w:color="000000"/>
            </w:tcBorders>
            <w:vAlign w:val="center"/>
          </w:tcPr>
          <w:p w14:paraId="48A0D3E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Normal (σ=1.288)</w:t>
            </w:r>
          </w:p>
        </w:tc>
        <w:tc>
          <w:tcPr>
            <w:tcW w:w="1158" w:type="dxa"/>
            <w:tcBorders>
              <w:top w:val="none" w:sz="0" w:space="0" w:color="000000"/>
              <w:left w:val="none" w:sz="0" w:space="0" w:color="000000"/>
              <w:bottom w:val="none" w:sz="0" w:space="0" w:color="000000"/>
              <w:right w:val="none" w:sz="0" w:space="0" w:color="000000"/>
            </w:tcBorders>
            <w:vAlign w:val="center"/>
          </w:tcPr>
          <w:p w14:paraId="5CEE42B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158" w:type="dxa"/>
            <w:tcBorders>
              <w:top w:val="none" w:sz="0" w:space="0" w:color="000000"/>
              <w:left w:val="none" w:sz="0" w:space="0" w:color="000000"/>
              <w:bottom w:val="none" w:sz="0" w:space="0" w:color="000000"/>
              <w:right w:val="none" w:sz="0" w:space="0" w:color="000000"/>
            </w:tcBorders>
            <w:vAlign w:val="center"/>
          </w:tcPr>
          <w:p w14:paraId="3B828C1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r>
      <w:tr w:rsidR="00907E93" w:rsidRPr="008E1CAD" w14:paraId="72F6F15A"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4FD7C6B7" w14:textId="40E99053"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Height (cm)</w:t>
            </w:r>
          </w:p>
        </w:tc>
        <w:tc>
          <w:tcPr>
            <w:tcW w:w="1154" w:type="dxa"/>
            <w:tcBorders>
              <w:top w:val="none" w:sz="0" w:space="0" w:color="000000"/>
              <w:left w:val="none" w:sz="0" w:space="0" w:color="000000"/>
              <w:bottom w:val="none" w:sz="0" w:space="0" w:color="000000"/>
              <w:right w:val="none" w:sz="0" w:space="0" w:color="000000"/>
            </w:tcBorders>
            <w:vAlign w:val="center"/>
          </w:tcPr>
          <w:p w14:paraId="23EF4A3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165.0</w:t>
            </w:r>
          </w:p>
        </w:tc>
        <w:tc>
          <w:tcPr>
            <w:tcW w:w="1141" w:type="dxa"/>
            <w:tcBorders>
              <w:top w:val="none" w:sz="0" w:space="0" w:color="000000"/>
              <w:left w:val="none" w:sz="0" w:space="0" w:color="000000"/>
              <w:bottom w:val="none" w:sz="0" w:space="0" w:color="000000"/>
              <w:right w:val="none" w:sz="0" w:space="0" w:color="000000"/>
            </w:tcBorders>
            <w:vAlign w:val="center"/>
          </w:tcPr>
          <w:p w14:paraId="2DFE59B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165.0</w:t>
            </w:r>
          </w:p>
        </w:tc>
        <w:tc>
          <w:tcPr>
            <w:tcW w:w="1140" w:type="dxa"/>
            <w:tcBorders>
              <w:top w:val="none" w:sz="0" w:space="0" w:color="000000"/>
              <w:left w:val="none" w:sz="0" w:space="0" w:color="000000"/>
              <w:bottom w:val="none" w:sz="0" w:space="0" w:color="000000"/>
              <w:right w:val="none" w:sz="0" w:space="0" w:color="000000"/>
            </w:tcBorders>
            <w:vAlign w:val="center"/>
          </w:tcPr>
          <w:p w14:paraId="11C3F35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165.0</w:t>
            </w:r>
          </w:p>
        </w:tc>
        <w:tc>
          <w:tcPr>
            <w:tcW w:w="1183" w:type="dxa"/>
            <w:tcBorders>
              <w:top w:val="none" w:sz="0" w:space="0" w:color="000000"/>
              <w:left w:val="none" w:sz="0" w:space="0" w:color="000000"/>
              <w:bottom w:val="none" w:sz="0" w:space="0" w:color="000000"/>
              <w:right w:val="none" w:sz="0" w:space="0" w:color="000000"/>
            </w:tcBorders>
            <w:vAlign w:val="center"/>
          </w:tcPr>
          <w:p w14:paraId="255ACC6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Normal (σ=0.020)</w:t>
            </w:r>
          </w:p>
        </w:tc>
        <w:tc>
          <w:tcPr>
            <w:tcW w:w="1158" w:type="dxa"/>
            <w:tcBorders>
              <w:top w:val="none" w:sz="0" w:space="0" w:color="000000"/>
              <w:left w:val="none" w:sz="0" w:space="0" w:color="000000"/>
              <w:bottom w:val="none" w:sz="0" w:space="0" w:color="000000"/>
              <w:right w:val="none" w:sz="0" w:space="0" w:color="000000"/>
            </w:tcBorders>
            <w:vAlign w:val="center"/>
          </w:tcPr>
          <w:p w14:paraId="2760AB6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c>
          <w:tcPr>
            <w:tcW w:w="1158" w:type="dxa"/>
            <w:tcBorders>
              <w:top w:val="none" w:sz="0" w:space="0" w:color="000000"/>
              <w:left w:val="none" w:sz="0" w:space="0" w:color="000000"/>
              <w:bottom w:val="none" w:sz="0" w:space="0" w:color="000000"/>
              <w:right w:val="none" w:sz="0" w:space="0" w:color="000000"/>
            </w:tcBorders>
            <w:vAlign w:val="center"/>
          </w:tcPr>
          <w:p w14:paraId="429BED9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w:t>
            </w:r>
          </w:p>
        </w:tc>
      </w:tr>
      <w:tr w:rsidR="008E6781" w:rsidRPr="008E1CAD" w14:paraId="243AC687"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vAlign w:val="center"/>
          </w:tcPr>
          <w:p w14:paraId="3D4892F6" w14:textId="5C137F25" w:rsidR="008E6781" w:rsidRPr="008E1CAD" w:rsidRDefault="008E6781" w:rsidP="008E6781">
            <w:pPr>
              <w:spacing w:before="40" w:after="40"/>
              <w:jc w:val="both"/>
              <w:rPr>
                <w:rFonts w:ascii="Times New Roman" w:hAnsi="Times New Roman" w:cs="Times New Roman"/>
              </w:rPr>
            </w:pPr>
            <w:r w:rsidRPr="008E1CAD">
              <w:rPr>
                <w:rFonts w:ascii="Times New Roman" w:eastAsia="Times New Roman" w:hAnsi="Times New Roman" w:cs="Times New Roman"/>
                <w:b/>
                <w:sz w:val="18"/>
              </w:rPr>
              <w:t xml:space="preserve">Treatment </w:t>
            </w:r>
            <w:r w:rsidR="00AA6134" w:rsidRPr="008E1CAD">
              <w:rPr>
                <w:rFonts w:ascii="Times New Roman" w:eastAsia="Times New Roman" w:hAnsi="Times New Roman" w:cs="Times New Roman"/>
                <w:b/>
                <w:sz w:val="18"/>
              </w:rPr>
              <w:t>p</w:t>
            </w:r>
            <w:r w:rsidRPr="008E1CAD">
              <w:rPr>
                <w:rFonts w:ascii="Times New Roman" w:eastAsia="Times New Roman" w:hAnsi="Times New Roman" w:cs="Times New Roman"/>
                <w:b/>
                <w:sz w:val="18"/>
              </w:rPr>
              <w:t>atterns</w:t>
            </w:r>
          </w:p>
        </w:tc>
      </w:tr>
      <w:tr w:rsidR="00907E93" w:rsidRPr="008E1CAD" w14:paraId="28D491C6"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DDEF6BD" w14:textId="61B9DE3F" w:rsidR="00907E93" w:rsidRPr="008E1CAD" w:rsidRDefault="00F97441">
            <w:pPr>
              <w:spacing w:before="40" w:after="40"/>
              <w:rPr>
                <w:rFonts w:ascii="Times New Roman" w:hAnsi="Times New Roman" w:cs="Times New Roman"/>
              </w:rPr>
            </w:pPr>
            <w:r w:rsidRPr="008E1CAD">
              <w:rPr>
                <w:rFonts w:ascii="Times New Roman" w:eastAsia="Times New Roman" w:hAnsi="Times New Roman" w:cs="Times New Roman"/>
                <w:sz w:val="18"/>
              </w:rPr>
              <w:t>Proportion of patients receiving supportive care therapy in subsequent-line</w:t>
            </w:r>
          </w:p>
        </w:tc>
        <w:tc>
          <w:tcPr>
            <w:tcW w:w="1154" w:type="dxa"/>
            <w:tcBorders>
              <w:top w:val="none" w:sz="0" w:space="0" w:color="000000"/>
              <w:left w:val="none" w:sz="0" w:space="0" w:color="000000"/>
              <w:bottom w:val="none" w:sz="0" w:space="0" w:color="000000"/>
              <w:right w:val="none" w:sz="0" w:space="0" w:color="000000"/>
            </w:tcBorders>
            <w:vAlign w:val="center"/>
          </w:tcPr>
          <w:p w14:paraId="6DACBEB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26.1%</w:t>
            </w:r>
          </w:p>
        </w:tc>
        <w:tc>
          <w:tcPr>
            <w:tcW w:w="1141" w:type="dxa"/>
            <w:tcBorders>
              <w:top w:val="none" w:sz="0" w:space="0" w:color="000000"/>
              <w:left w:val="none" w:sz="0" w:space="0" w:color="000000"/>
              <w:bottom w:val="none" w:sz="0" w:space="0" w:color="000000"/>
              <w:right w:val="none" w:sz="0" w:space="0" w:color="000000"/>
            </w:tcBorders>
            <w:vAlign w:val="center"/>
          </w:tcPr>
          <w:p w14:paraId="171DA80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18.1%</w:t>
            </w:r>
          </w:p>
        </w:tc>
        <w:tc>
          <w:tcPr>
            <w:tcW w:w="1140" w:type="dxa"/>
            <w:tcBorders>
              <w:top w:val="none" w:sz="0" w:space="0" w:color="000000"/>
              <w:left w:val="none" w:sz="0" w:space="0" w:color="000000"/>
              <w:bottom w:val="none" w:sz="0" w:space="0" w:color="000000"/>
              <w:right w:val="none" w:sz="0" w:space="0" w:color="000000"/>
            </w:tcBorders>
            <w:vAlign w:val="center"/>
          </w:tcPr>
          <w:p w14:paraId="67C4193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36.0%</w:t>
            </w:r>
          </w:p>
        </w:tc>
        <w:tc>
          <w:tcPr>
            <w:tcW w:w="1183" w:type="dxa"/>
            <w:tcBorders>
              <w:top w:val="none" w:sz="0" w:space="0" w:color="000000"/>
              <w:left w:val="none" w:sz="0" w:space="0" w:color="000000"/>
              <w:bottom w:val="none" w:sz="0" w:space="0" w:color="000000"/>
              <w:right w:val="none" w:sz="0" w:space="0" w:color="000000"/>
            </w:tcBorders>
            <w:vAlign w:val="center"/>
          </w:tcPr>
          <w:p w14:paraId="69092D4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01BAB4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23.882</w:t>
            </w:r>
          </w:p>
        </w:tc>
        <w:tc>
          <w:tcPr>
            <w:tcW w:w="1158" w:type="dxa"/>
            <w:tcBorders>
              <w:top w:val="none" w:sz="0" w:space="0" w:color="000000"/>
              <w:left w:val="none" w:sz="0" w:space="0" w:color="000000"/>
              <w:bottom w:val="none" w:sz="0" w:space="0" w:color="000000"/>
              <w:right w:val="none" w:sz="0" w:space="0" w:color="000000"/>
            </w:tcBorders>
            <w:vAlign w:val="center"/>
          </w:tcPr>
          <w:p w14:paraId="6086A77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67.620</w:t>
            </w:r>
          </w:p>
        </w:tc>
      </w:tr>
      <w:tr w:rsidR="008E6781" w:rsidRPr="008E1CAD" w14:paraId="25213B31"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vAlign w:val="center"/>
          </w:tcPr>
          <w:p w14:paraId="0DFFB075" w14:textId="264E0C07" w:rsidR="008E6781" w:rsidRPr="008E1CAD" w:rsidRDefault="008E6781" w:rsidP="008E6781">
            <w:pPr>
              <w:spacing w:before="40" w:after="40"/>
              <w:jc w:val="both"/>
              <w:rPr>
                <w:rFonts w:ascii="Times New Roman" w:hAnsi="Times New Roman" w:cs="Times New Roman"/>
              </w:rPr>
            </w:pPr>
            <w:r w:rsidRPr="008E1CAD">
              <w:rPr>
                <w:rFonts w:ascii="Times New Roman" w:eastAsia="Times New Roman" w:hAnsi="Times New Roman" w:cs="Times New Roman"/>
                <w:b/>
                <w:sz w:val="18"/>
              </w:rPr>
              <w:t xml:space="preserve">Treatment </w:t>
            </w:r>
            <w:r w:rsidR="00AA6134" w:rsidRPr="008E1CAD">
              <w:rPr>
                <w:rFonts w:ascii="Times New Roman" w:eastAsia="Times New Roman" w:hAnsi="Times New Roman" w:cs="Times New Roman"/>
                <w:b/>
                <w:sz w:val="18"/>
              </w:rPr>
              <w:t>c</w:t>
            </w:r>
            <w:r w:rsidRPr="008E1CAD">
              <w:rPr>
                <w:rFonts w:ascii="Times New Roman" w:eastAsia="Times New Roman" w:hAnsi="Times New Roman" w:cs="Times New Roman"/>
                <w:b/>
                <w:sz w:val="18"/>
              </w:rPr>
              <w:t>ompliance</w:t>
            </w:r>
          </w:p>
        </w:tc>
      </w:tr>
      <w:tr w:rsidR="00907E93" w:rsidRPr="008E1CAD" w14:paraId="45F06E3D"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06E8939B" w14:textId="1C5B9469"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 xml:space="preserve">Monthly </w:t>
            </w:r>
            <w:r w:rsidR="00AA6134" w:rsidRPr="008E1CAD">
              <w:rPr>
                <w:rFonts w:ascii="Times New Roman" w:eastAsia="Times New Roman" w:hAnsi="Times New Roman" w:cs="Times New Roman"/>
                <w:sz w:val="18"/>
              </w:rPr>
              <w:t>d</w:t>
            </w:r>
            <w:r w:rsidRPr="008E1CAD">
              <w:rPr>
                <w:rFonts w:ascii="Times New Roman" w:eastAsia="Times New Roman" w:hAnsi="Times New Roman" w:cs="Times New Roman"/>
                <w:sz w:val="18"/>
              </w:rPr>
              <w:t xml:space="preserve">iscontinuation </w:t>
            </w:r>
            <w:r w:rsidR="00AA6134" w:rsidRPr="008E1CAD">
              <w:rPr>
                <w:rFonts w:ascii="Times New Roman" w:eastAsia="Times New Roman" w:hAnsi="Times New Roman" w:cs="Times New Roman"/>
                <w:sz w:val="18"/>
              </w:rPr>
              <w:t>risk</w:t>
            </w:r>
            <w:r w:rsidR="00365058" w:rsidRPr="008E1CAD">
              <w:rPr>
                <w:rFonts w:ascii="Times New Roman" w:eastAsia="Times New Roman" w:hAnsi="Times New Roman" w:cs="Times New Roman"/>
                <w:sz w:val="18"/>
              </w:rPr>
              <w:t xml:space="preserve">: </w:t>
            </w:r>
            <w:r w:rsidRPr="008E1CAD">
              <w:rPr>
                <w:rFonts w:ascii="Times New Roman" w:eastAsia="Times New Roman" w:hAnsi="Times New Roman" w:cs="Times New Roman"/>
                <w:sz w:val="18"/>
              </w:rPr>
              <w:t>IRd</w:t>
            </w:r>
          </w:p>
        </w:tc>
        <w:tc>
          <w:tcPr>
            <w:tcW w:w="1154" w:type="dxa"/>
            <w:tcBorders>
              <w:top w:val="none" w:sz="0" w:space="0" w:color="000000"/>
              <w:left w:val="none" w:sz="0" w:space="0" w:color="000000"/>
              <w:bottom w:val="none" w:sz="0" w:space="0" w:color="000000"/>
              <w:right w:val="none" w:sz="0" w:space="0" w:color="000000"/>
            </w:tcBorders>
            <w:vAlign w:val="center"/>
          </w:tcPr>
          <w:p w14:paraId="23735BC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0.043</w:t>
            </w:r>
          </w:p>
        </w:tc>
        <w:tc>
          <w:tcPr>
            <w:tcW w:w="1141" w:type="dxa"/>
            <w:tcBorders>
              <w:top w:val="none" w:sz="0" w:space="0" w:color="000000"/>
              <w:left w:val="none" w:sz="0" w:space="0" w:color="000000"/>
              <w:bottom w:val="none" w:sz="0" w:space="0" w:color="000000"/>
              <w:right w:val="none" w:sz="0" w:space="0" w:color="000000"/>
            </w:tcBorders>
            <w:vAlign w:val="center"/>
          </w:tcPr>
          <w:p w14:paraId="1B93C8A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0.026</w:t>
            </w:r>
          </w:p>
        </w:tc>
        <w:tc>
          <w:tcPr>
            <w:tcW w:w="1140" w:type="dxa"/>
            <w:tcBorders>
              <w:top w:val="none" w:sz="0" w:space="0" w:color="000000"/>
              <w:left w:val="none" w:sz="0" w:space="0" w:color="000000"/>
              <w:bottom w:val="none" w:sz="0" w:space="0" w:color="000000"/>
              <w:right w:val="none" w:sz="0" w:space="0" w:color="000000"/>
            </w:tcBorders>
            <w:vAlign w:val="center"/>
          </w:tcPr>
          <w:p w14:paraId="0F85FB8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0.071</w:t>
            </w:r>
          </w:p>
        </w:tc>
        <w:tc>
          <w:tcPr>
            <w:tcW w:w="1183" w:type="dxa"/>
            <w:tcBorders>
              <w:top w:val="none" w:sz="0" w:space="0" w:color="000000"/>
              <w:left w:val="none" w:sz="0" w:space="0" w:color="000000"/>
              <w:bottom w:val="none" w:sz="0" w:space="0" w:color="000000"/>
              <w:right w:val="none" w:sz="0" w:space="0" w:color="000000"/>
            </w:tcBorders>
            <w:vAlign w:val="center"/>
          </w:tcPr>
          <w:p w14:paraId="220F0E6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6A7A31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13.721</w:t>
            </w:r>
          </w:p>
        </w:tc>
        <w:tc>
          <w:tcPr>
            <w:tcW w:w="1158" w:type="dxa"/>
            <w:tcBorders>
              <w:top w:val="none" w:sz="0" w:space="0" w:color="000000"/>
              <w:left w:val="none" w:sz="0" w:space="0" w:color="000000"/>
              <w:bottom w:val="none" w:sz="0" w:space="0" w:color="000000"/>
              <w:right w:val="none" w:sz="0" w:space="0" w:color="000000"/>
            </w:tcBorders>
            <w:vAlign w:val="center"/>
          </w:tcPr>
          <w:p w14:paraId="58295D6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302.296</w:t>
            </w:r>
          </w:p>
        </w:tc>
      </w:tr>
      <w:tr w:rsidR="00907E93" w:rsidRPr="008E1CAD" w14:paraId="5D409CE4"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3C1FABE" w14:textId="2E749E1F" w:rsidR="00907E93" w:rsidRPr="008E1CAD" w:rsidRDefault="00AA6134">
            <w:pPr>
              <w:spacing w:before="40" w:after="40"/>
              <w:rPr>
                <w:rFonts w:ascii="Times New Roman" w:hAnsi="Times New Roman" w:cs="Times New Roman"/>
              </w:rPr>
            </w:pPr>
            <w:r w:rsidRPr="008E1CAD">
              <w:rPr>
                <w:rFonts w:ascii="Times New Roman" w:eastAsia="Times New Roman" w:hAnsi="Times New Roman" w:cs="Times New Roman"/>
                <w:sz w:val="18"/>
              </w:rPr>
              <w:t xml:space="preserve">Monthly discontinuation risk: </w:t>
            </w:r>
            <w:r w:rsidR="00365058" w:rsidRPr="008E1CAD">
              <w:rPr>
                <w:rFonts w:ascii="Times New Roman" w:eastAsia="Times New Roman" w:hAnsi="Times New Roman" w:cs="Times New Roman"/>
                <w:sz w:val="18"/>
              </w:rPr>
              <w:t xml:space="preserve"> </w:t>
            </w: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33BD2A0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0.055</w:t>
            </w:r>
          </w:p>
        </w:tc>
        <w:tc>
          <w:tcPr>
            <w:tcW w:w="1141" w:type="dxa"/>
            <w:tcBorders>
              <w:top w:val="none" w:sz="0" w:space="0" w:color="000000"/>
              <w:left w:val="none" w:sz="0" w:space="0" w:color="000000"/>
              <w:bottom w:val="none" w:sz="0" w:space="0" w:color="000000"/>
              <w:right w:val="none" w:sz="0" w:space="0" w:color="000000"/>
            </w:tcBorders>
            <w:vAlign w:val="center"/>
          </w:tcPr>
          <w:p w14:paraId="7B025B0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0.037</w:t>
            </w:r>
          </w:p>
        </w:tc>
        <w:tc>
          <w:tcPr>
            <w:tcW w:w="1140" w:type="dxa"/>
            <w:tcBorders>
              <w:top w:val="none" w:sz="0" w:space="0" w:color="000000"/>
              <w:left w:val="none" w:sz="0" w:space="0" w:color="000000"/>
              <w:bottom w:val="none" w:sz="0" w:space="0" w:color="000000"/>
              <w:right w:val="none" w:sz="0" w:space="0" w:color="000000"/>
            </w:tcBorders>
            <w:vAlign w:val="center"/>
          </w:tcPr>
          <w:p w14:paraId="246B31D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0.081</w:t>
            </w:r>
          </w:p>
        </w:tc>
        <w:tc>
          <w:tcPr>
            <w:tcW w:w="1183" w:type="dxa"/>
            <w:tcBorders>
              <w:top w:val="none" w:sz="0" w:space="0" w:color="000000"/>
              <w:left w:val="none" w:sz="0" w:space="0" w:color="000000"/>
              <w:bottom w:val="none" w:sz="0" w:space="0" w:color="000000"/>
              <w:right w:val="none" w:sz="0" w:space="0" w:color="000000"/>
            </w:tcBorders>
            <w:vAlign w:val="center"/>
          </w:tcPr>
          <w:p w14:paraId="3F643A0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3141E5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23.180</w:t>
            </w:r>
          </w:p>
        </w:tc>
        <w:tc>
          <w:tcPr>
            <w:tcW w:w="1158" w:type="dxa"/>
            <w:tcBorders>
              <w:top w:val="none" w:sz="0" w:space="0" w:color="000000"/>
              <w:left w:val="none" w:sz="0" w:space="0" w:color="000000"/>
              <w:bottom w:val="none" w:sz="0" w:space="0" w:color="000000"/>
              <w:right w:val="none" w:sz="0" w:space="0" w:color="000000"/>
            </w:tcBorders>
            <w:vAlign w:val="center"/>
          </w:tcPr>
          <w:p w14:paraId="35DC3DE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395.554</w:t>
            </w:r>
          </w:p>
        </w:tc>
      </w:tr>
      <w:tr w:rsidR="00907E93" w:rsidRPr="008E1CAD" w14:paraId="65098384"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2CFC7F9" w14:textId="079DB33D" w:rsidR="00907E93" w:rsidRPr="008E1CAD" w:rsidRDefault="00AA6134">
            <w:pPr>
              <w:spacing w:before="40" w:after="40"/>
              <w:rPr>
                <w:rFonts w:ascii="Times New Roman" w:hAnsi="Times New Roman" w:cs="Times New Roman"/>
              </w:rPr>
            </w:pPr>
            <w:r w:rsidRPr="008E1CAD">
              <w:rPr>
                <w:rFonts w:ascii="Times New Roman" w:hAnsi="Times New Roman" w:cs="Times New Roman"/>
                <w:sz w:val="19"/>
              </w:rPr>
              <w:t xml:space="preserve">Proportion of discontinuations due to </w:t>
            </w:r>
            <w:r w:rsidRPr="00F80209">
              <w:rPr>
                <w:rFonts w:ascii="Times New Roman" w:hAnsi="Times New Roman" w:cs="Times New Roman"/>
                <w:sz w:val="19"/>
              </w:rPr>
              <w:t>PD: IRd</w:t>
            </w:r>
          </w:p>
        </w:tc>
        <w:tc>
          <w:tcPr>
            <w:tcW w:w="1154" w:type="dxa"/>
            <w:tcBorders>
              <w:top w:val="none" w:sz="0" w:space="0" w:color="000000"/>
              <w:left w:val="none" w:sz="0" w:space="0" w:color="000000"/>
              <w:bottom w:val="none" w:sz="0" w:space="0" w:color="000000"/>
              <w:right w:val="none" w:sz="0" w:space="0" w:color="000000"/>
            </w:tcBorders>
            <w:vAlign w:val="center"/>
          </w:tcPr>
          <w:p w14:paraId="4837599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26.0%</w:t>
            </w:r>
          </w:p>
        </w:tc>
        <w:tc>
          <w:tcPr>
            <w:tcW w:w="1141" w:type="dxa"/>
            <w:tcBorders>
              <w:top w:val="none" w:sz="0" w:space="0" w:color="000000"/>
              <w:left w:val="none" w:sz="0" w:space="0" w:color="000000"/>
              <w:bottom w:val="none" w:sz="0" w:space="0" w:color="000000"/>
              <w:right w:val="none" w:sz="0" w:space="0" w:color="000000"/>
            </w:tcBorders>
            <w:vAlign w:val="center"/>
          </w:tcPr>
          <w:p w14:paraId="0E74262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18.8%</w:t>
            </w:r>
          </w:p>
        </w:tc>
        <w:tc>
          <w:tcPr>
            <w:tcW w:w="1140" w:type="dxa"/>
            <w:tcBorders>
              <w:top w:val="none" w:sz="0" w:space="0" w:color="000000"/>
              <w:left w:val="none" w:sz="0" w:space="0" w:color="000000"/>
              <w:bottom w:val="none" w:sz="0" w:space="0" w:color="000000"/>
              <w:right w:val="none" w:sz="0" w:space="0" w:color="000000"/>
            </w:tcBorders>
            <w:vAlign w:val="center"/>
          </w:tcPr>
          <w:p w14:paraId="18E7B60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34.8%</w:t>
            </w:r>
          </w:p>
        </w:tc>
        <w:tc>
          <w:tcPr>
            <w:tcW w:w="1183" w:type="dxa"/>
            <w:tcBorders>
              <w:top w:val="none" w:sz="0" w:space="0" w:color="000000"/>
              <w:left w:val="none" w:sz="0" w:space="0" w:color="000000"/>
              <w:bottom w:val="none" w:sz="0" w:space="0" w:color="000000"/>
              <w:right w:val="none" w:sz="0" w:space="0" w:color="000000"/>
            </w:tcBorders>
            <w:vAlign w:val="center"/>
          </w:tcPr>
          <w:p w14:paraId="0C3DFB1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0D55F3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30.007</w:t>
            </w:r>
          </w:p>
        </w:tc>
        <w:tc>
          <w:tcPr>
            <w:tcW w:w="1158" w:type="dxa"/>
            <w:tcBorders>
              <w:top w:val="none" w:sz="0" w:space="0" w:color="000000"/>
              <w:left w:val="none" w:sz="0" w:space="0" w:color="000000"/>
              <w:bottom w:val="none" w:sz="0" w:space="0" w:color="000000"/>
              <w:right w:val="none" w:sz="0" w:space="0" w:color="000000"/>
            </w:tcBorders>
            <w:vAlign w:val="center"/>
          </w:tcPr>
          <w:p w14:paraId="54B2A8F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85.306</w:t>
            </w:r>
          </w:p>
        </w:tc>
      </w:tr>
      <w:tr w:rsidR="00907E93" w:rsidRPr="008E1CAD" w14:paraId="069F4D2A"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9075318" w14:textId="6452552E" w:rsidR="00907E93" w:rsidRPr="008E1CAD" w:rsidRDefault="00AA6134">
            <w:pPr>
              <w:spacing w:before="40" w:after="40"/>
              <w:rPr>
                <w:rFonts w:ascii="Times New Roman" w:hAnsi="Times New Roman" w:cs="Times New Roman"/>
              </w:rPr>
            </w:pPr>
            <w:r w:rsidRPr="008E1CAD">
              <w:rPr>
                <w:rFonts w:ascii="Times New Roman" w:hAnsi="Times New Roman" w:cs="Times New Roman"/>
                <w:sz w:val="19"/>
              </w:rPr>
              <w:t xml:space="preserve">Proportion of discontinuations due to </w:t>
            </w:r>
            <w:r w:rsidRPr="00F80209">
              <w:rPr>
                <w:rFonts w:ascii="Times New Roman" w:hAnsi="Times New Roman" w:cs="Times New Roman"/>
                <w:sz w:val="19"/>
              </w:rPr>
              <w:t>PD: DRd</w:t>
            </w:r>
          </w:p>
        </w:tc>
        <w:tc>
          <w:tcPr>
            <w:tcW w:w="1154" w:type="dxa"/>
            <w:tcBorders>
              <w:top w:val="none" w:sz="0" w:space="0" w:color="000000"/>
              <w:left w:val="none" w:sz="0" w:space="0" w:color="000000"/>
              <w:bottom w:val="none" w:sz="0" w:space="0" w:color="000000"/>
              <w:right w:val="none" w:sz="0" w:space="0" w:color="000000"/>
            </w:tcBorders>
            <w:vAlign w:val="center"/>
          </w:tcPr>
          <w:p w14:paraId="690B880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50.1%</w:t>
            </w:r>
          </w:p>
        </w:tc>
        <w:tc>
          <w:tcPr>
            <w:tcW w:w="1141" w:type="dxa"/>
            <w:tcBorders>
              <w:top w:val="none" w:sz="0" w:space="0" w:color="000000"/>
              <w:left w:val="none" w:sz="0" w:space="0" w:color="000000"/>
              <w:bottom w:val="none" w:sz="0" w:space="0" w:color="000000"/>
              <w:right w:val="none" w:sz="0" w:space="0" w:color="000000"/>
            </w:tcBorders>
            <w:vAlign w:val="center"/>
          </w:tcPr>
          <w:p w14:paraId="7A6E32E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37.6%</w:t>
            </w:r>
          </w:p>
        </w:tc>
        <w:tc>
          <w:tcPr>
            <w:tcW w:w="1140" w:type="dxa"/>
            <w:tcBorders>
              <w:top w:val="none" w:sz="0" w:space="0" w:color="000000"/>
              <w:left w:val="none" w:sz="0" w:space="0" w:color="000000"/>
              <w:bottom w:val="none" w:sz="0" w:space="0" w:color="000000"/>
              <w:right w:val="none" w:sz="0" w:space="0" w:color="000000"/>
            </w:tcBorders>
            <w:vAlign w:val="center"/>
          </w:tcPr>
          <w:p w14:paraId="70A2E6B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62.6%</w:t>
            </w:r>
          </w:p>
        </w:tc>
        <w:tc>
          <w:tcPr>
            <w:tcW w:w="1183" w:type="dxa"/>
            <w:tcBorders>
              <w:top w:val="none" w:sz="0" w:space="0" w:color="000000"/>
              <w:left w:val="none" w:sz="0" w:space="0" w:color="000000"/>
              <w:bottom w:val="none" w:sz="0" w:space="0" w:color="000000"/>
              <w:right w:val="none" w:sz="0" w:space="0" w:color="000000"/>
            </w:tcBorders>
            <w:vAlign w:val="center"/>
          </w:tcPr>
          <w:p w14:paraId="347AA40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5FF3390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49.393</w:t>
            </w:r>
          </w:p>
        </w:tc>
        <w:tc>
          <w:tcPr>
            <w:tcW w:w="1158" w:type="dxa"/>
            <w:tcBorders>
              <w:top w:val="none" w:sz="0" w:space="0" w:color="000000"/>
              <w:left w:val="none" w:sz="0" w:space="0" w:color="000000"/>
              <w:bottom w:val="none" w:sz="0" w:space="0" w:color="000000"/>
              <w:right w:val="none" w:sz="0" w:space="0" w:color="000000"/>
            </w:tcBorders>
            <w:vAlign w:val="center"/>
          </w:tcPr>
          <w:p w14:paraId="10E0440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49.183</w:t>
            </w:r>
          </w:p>
        </w:tc>
      </w:tr>
      <w:tr w:rsidR="008E6781" w:rsidRPr="008E1CAD" w14:paraId="0940A5E2"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vAlign w:val="center"/>
          </w:tcPr>
          <w:p w14:paraId="3FF731DC" w14:textId="078FBEC1" w:rsidR="008E6781" w:rsidRPr="008E1CAD" w:rsidRDefault="008E6781" w:rsidP="008E6781">
            <w:pPr>
              <w:spacing w:before="40" w:after="40"/>
              <w:jc w:val="both"/>
              <w:rPr>
                <w:rFonts w:ascii="Times New Roman" w:hAnsi="Times New Roman" w:cs="Times New Roman"/>
              </w:rPr>
            </w:pPr>
            <w:r w:rsidRPr="008E1CAD">
              <w:rPr>
                <w:rFonts w:ascii="Times New Roman" w:eastAsia="Times New Roman" w:hAnsi="Times New Roman" w:cs="Times New Roman"/>
                <w:b/>
                <w:sz w:val="18"/>
              </w:rPr>
              <w:t xml:space="preserve">Clinical </w:t>
            </w:r>
            <w:r w:rsidR="00AA6134" w:rsidRPr="008E1CAD">
              <w:rPr>
                <w:rFonts w:ascii="Times New Roman" w:eastAsia="Times New Roman" w:hAnsi="Times New Roman" w:cs="Times New Roman"/>
                <w:b/>
                <w:sz w:val="18"/>
              </w:rPr>
              <w:t>e</w:t>
            </w:r>
            <w:r w:rsidRPr="008E1CAD">
              <w:rPr>
                <w:rFonts w:ascii="Times New Roman" w:eastAsia="Times New Roman" w:hAnsi="Times New Roman" w:cs="Times New Roman"/>
                <w:b/>
                <w:sz w:val="18"/>
              </w:rPr>
              <w:t>fficacy</w:t>
            </w:r>
          </w:p>
        </w:tc>
      </w:tr>
      <w:tr w:rsidR="00AA6134" w:rsidRPr="008E1CAD" w14:paraId="2588433A"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tcPr>
          <w:p w14:paraId="07D8DC4E" w14:textId="1A124BB1" w:rsidR="00AA6134" w:rsidRPr="008E1CAD" w:rsidRDefault="00AA6134" w:rsidP="00AA6134">
            <w:pPr>
              <w:spacing w:before="40" w:after="40"/>
              <w:rPr>
                <w:rFonts w:ascii="Times New Roman" w:hAnsi="Times New Roman" w:cs="Times New Roman"/>
              </w:rPr>
            </w:pPr>
            <w:r w:rsidRPr="008E1CAD">
              <w:rPr>
                <w:rFonts w:ascii="Times New Roman" w:eastAsia="Times New Roman" w:hAnsi="Times New Roman" w:cs="Times New Roman"/>
                <w:i/>
                <w:sz w:val="18"/>
              </w:rPr>
              <w:t>Front-line induction ORR</w:t>
            </w:r>
          </w:p>
        </w:tc>
      </w:tr>
      <w:tr w:rsidR="00907E93" w:rsidRPr="008E1CAD" w14:paraId="46DBEB1C"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787C5F5" w14:textId="38B68AEC"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VRd</w:t>
            </w:r>
          </w:p>
        </w:tc>
        <w:tc>
          <w:tcPr>
            <w:tcW w:w="1154" w:type="dxa"/>
            <w:tcBorders>
              <w:top w:val="none" w:sz="0" w:space="0" w:color="000000"/>
              <w:left w:val="none" w:sz="0" w:space="0" w:color="000000"/>
              <w:bottom w:val="none" w:sz="0" w:space="0" w:color="000000"/>
              <w:right w:val="none" w:sz="0" w:space="0" w:color="000000"/>
            </w:tcBorders>
            <w:vAlign w:val="center"/>
          </w:tcPr>
          <w:p w14:paraId="2EC2498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91.6%</w:t>
            </w:r>
          </w:p>
        </w:tc>
        <w:tc>
          <w:tcPr>
            <w:tcW w:w="1141" w:type="dxa"/>
            <w:tcBorders>
              <w:top w:val="none" w:sz="0" w:space="0" w:color="000000"/>
              <w:left w:val="none" w:sz="0" w:space="0" w:color="000000"/>
              <w:bottom w:val="none" w:sz="0" w:space="0" w:color="000000"/>
              <w:right w:val="none" w:sz="0" w:space="0" w:color="000000"/>
            </w:tcBorders>
            <w:vAlign w:val="center"/>
          </w:tcPr>
          <w:p w14:paraId="6E8CA8A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87.0%</w:t>
            </w:r>
          </w:p>
        </w:tc>
        <w:tc>
          <w:tcPr>
            <w:tcW w:w="1140" w:type="dxa"/>
            <w:tcBorders>
              <w:top w:val="none" w:sz="0" w:space="0" w:color="000000"/>
              <w:left w:val="none" w:sz="0" w:space="0" w:color="000000"/>
              <w:bottom w:val="none" w:sz="0" w:space="0" w:color="000000"/>
              <w:right w:val="none" w:sz="0" w:space="0" w:color="000000"/>
            </w:tcBorders>
            <w:vAlign w:val="center"/>
          </w:tcPr>
          <w:p w14:paraId="252FB16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94.7%</w:t>
            </w:r>
          </w:p>
        </w:tc>
        <w:tc>
          <w:tcPr>
            <w:tcW w:w="1183" w:type="dxa"/>
            <w:tcBorders>
              <w:top w:val="none" w:sz="0" w:space="0" w:color="000000"/>
              <w:left w:val="none" w:sz="0" w:space="0" w:color="000000"/>
              <w:bottom w:val="none" w:sz="0" w:space="0" w:color="000000"/>
              <w:right w:val="none" w:sz="0" w:space="0" w:color="000000"/>
            </w:tcBorders>
            <w:vAlign w:val="center"/>
          </w:tcPr>
          <w:p w14:paraId="31B51A2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BBA09D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179.291</w:t>
            </w:r>
          </w:p>
        </w:tc>
        <w:tc>
          <w:tcPr>
            <w:tcW w:w="1158" w:type="dxa"/>
            <w:tcBorders>
              <w:top w:val="none" w:sz="0" w:space="0" w:color="000000"/>
              <w:left w:val="none" w:sz="0" w:space="0" w:color="000000"/>
              <w:bottom w:val="none" w:sz="0" w:space="0" w:color="000000"/>
              <w:right w:val="none" w:sz="0" w:space="0" w:color="000000"/>
            </w:tcBorders>
            <w:vAlign w:val="center"/>
          </w:tcPr>
          <w:p w14:paraId="7B1745C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16.407</w:t>
            </w:r>
          </w:p>
        </w:tc>
      </w:tr>
      <w:tr w:rsidR="00907E93" w:rsidRPr="008E1CAD" w14:paraId="6CE8D14E"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DD75D85" w14:textId="27441866"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VCd</w:t>
            </w:r>
          </w:p>
        </w:tc>
        <w:tc>
          <w:tcPr>
            <w:tcW w:w="1154" w:type="dxa"/>
            <w:tcBorders>
              <w:top w:val="none" w:sz="0" w:space="0" w:color="000000"/>
              <w:left w:val="none" w:sz="0" w:space="0" w:color="000000"/>
              <w:bottom w:val="none" w:sz="0" w:space="0" w:color="000000"/>
              <w:right w:val="none" w:sz="0" w:space="0" w:color="000000"/>
            </w:tcBorders>
            <w:vAlign w:val="center"/>
          </w:tcPr>
          <w:p w14:paraId="4A2BBB0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84.8%</w:t>
            </w:r>
          </w:p>
        </w:tc>
        <w:tc>
          <w:tcPr>
            <w:tcW w:w="1141" w:type="dxa"/>
            <w:tcBorders>
              <w:top w:val="none" w:sz="0" w:space="0" w:color="000000"/>
              <w:left w:val="none" w:sz="0" w:space="0" w:color="000000"/>
              <w:bottom w:val="none" w:sz="0" w:space="0" w:color="000000"/>
              <w:right w:val="none" w:sz="0" w:space="0" w:color="000000"/>
            </w:tcBorders>
            <w:vAlign w:val="center"/>
          </w:tcPr>
          <w:p w14:paraId="0AB3551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80.5%</w:t>
            </w:r>
          </w:p>
        </w:tc>
        <w:tc>
          <w:tcPr>
            <w:tcW w:w="1140" w:type="dxa"/>
            <w:tcBorders>
              <w:top w:val="none" w:sz="0" w:space="0" w:color="000000"/>
              <w:left w:val="none" w:sz="0" w:space="0" w:color="000000"/>
              <w:bottom w:val="none" w:sz="0" w:space="0" w:color="000000"/>
              <w:right w:val="none" w:sz="0" w:space="0" w:color="000000"/>
            </w:tcBorders>
            <w:vAlign w:val="center"/>
          </w:tcPr>
          <w:p w14:paraId="1CD305E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88.2%</w:t>
            </w:r>
          </w:p>
        </w:tc>
        <w:tc>
          <w:tcPr>
            <w:tcW w:w="1183" w:type="dxa"/>
            <w:tcBorders>
              <w:top w:val="none" w:sz="0" w:space="0" w:color="000000"/>
              <w:left w:val="none" w:sz="0" w:space="0" w:color="000000"/>
              <w:bottom w:val="none" w:sz="0" w:space="0" w:color="000000"/>
              <w:right w:val="none" w:sz="0" w:space="0" w:color="000000"/>
            </w:tcBorders>
            <w:vAlign w:val="center"/>
          </w:tcPr>
          <w:p w14:paraId="6696468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E1BD00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278.200</w:t>
            </w:r>
          </w:p>
        </w:tc>
        <w:tc>
          <w:tcPr>
            <w:tcW w:w="1158" w:type="dxa"/>
            <w:tcBorders>
              <w:top w:val="none" w:sz="0" w:space="0" w:color="000000"/>
              <w:left w:val="none" w:sz="0" w:space="0" w:color="000000"/>
              <w:bottom w:val="none" w:sz="0" w:space="0" w:color="000000"/>
              <w:right w:val="none" w:sz="0" w:space="0" w:color="000000"/>
            </w:tcBorders>
            <w:vAlign w:val="center"/>
          </w:tcPr>
          <w:p w14:paraId="7C087E7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50.008</w:t>
            </w:r>
          </w:p>
        </w:tc>
      </w:tr>
      <w:tr w:rsidR="00907E93" w:rsidRPr="008E1CAD" w14:paraId="35705E9C"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AB28629" w14:textId="7B3EA252"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VAd</w:t>
            </w:r>
          </w:p>
        </w:tc>
        <w:tc>
          <w:tcPr>
            <w:tcW w:w="1154" w:type="dxa"/>
            <w:tcBorders>
              <w:top w:val="none" w:sz="0" w:space="0" w:color="000000"/>
              <w:left w:val="none" w:sz="0" w:space="0" w:color="000000"/>
              <w:bottom w:val="none" w:sz="0" w:space="0" w:color="000000"/>
              <w:right w:val="none" w:sz="0" w:space="0" w:color="000000"/>
            </w:tcBorders>
            <w:vAlign w:val="center"/>
          </w:tcPr>
          <w:p w14:paraId="6DD1B13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92.0%</w:t>
            </w:r>
          </w:p>
        </w:tc>
        <w:tc>
          <w:tcPr>
            <w:tcW w:w="1141" w:type="dxa"/>
            <w:tcBorders>
              <w:top w:val="none" w:sz="0" w:space="0" w:color="000000"/>
              <w:left w:val="none" w:sz="0" w:space="0" w:color="000000"/>
              <w:bottom w:val="none" w:sz="0" w:space="0" w:color="000000"/>
              <w:right w:val="none" w:sz="0" w:space="0" w:color="000000"/>
            </w:tcBorders>
            <w:vAlign w:val="center"/>
          </w:tcPr>
          <w:p w14:paraId="2088F23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85.9%</w:t>
            </w:r>
          </w:p>
        </w:tc>
        <w:tc>
          <w:tcPr>
            <w:tcW w:w="1140" w:type="dxa"/>
            <w:tcBorders>
              <w:top w:val="none" w:sz="0" w:space="0" w:color="000000"/>
              <w:left w:val="none" w:sz="0" w:space="0" w:color="000000"/>
              <w:bottom w:val="none" w:sz="0" w:space="0" w:color="000000"/>
              <w:right w:val="none" w:sz="0" w:space="0" w:color="000000"/>
            </w:tcBorders>
            <w:vAlign w:val="center"/>
          </w:tcPr>
          <w:p w14:paraId="40C0CA1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95.6%</w:t>
            </w:r>
          </w:p>
        </w:tc>
        <w:tc>
          <w:tcPr>
            <w:tcW w:w="1183" w:type="dxa"/>
            <w:tcBorders>
              <w:top w:val="none" w:sz="0" w:space="0" w:color="000000"/>
              <w:left w:val="none" w:sz="0" w:space="0" w:color="000000"/>
              <w:bottom w:val="none" w:sz="0" w:space="0" w:color="000000"/>
              <w:right w:val="none" w:sz="0" w:space="0" w:color="000000"/>
            </w:tcBorders>
            <w:vAlign w:val="center"/>
          </w:tcPr>
          <w:p w14:paraId="3F15072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4C1461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109.626</w:t>
            </w:r>
          </w:p>
        </w:tc>
        <w:tc>
          <w:tcPr>
            <w:tcW w:w="1158" w:type="dxa"/>
            <w:tcBorders>
              <w:top w:val="none" w:sz="0" w:space="0" w:color="000000"/>
              <w:left w:val="none" w:sz="0" w:space="0" w:color="000000"/>
              <w:bottom w:val="none" w:sz="0" w:space="0" w:color="000000"/>
              <w:right w:val="none" w:sz="0" w:space="0" w:color="000000"/>
            </w:tcBorders>
            <w:vAlign w:val="center"/>
          </w:tcPr>
          <w:p w14:paraId="25AB3DD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9.513</w:t>
            </w:r>
          </w:p>
        </w:tc>
      </w:tr>
      <w:tr w:rsidR="00907E93" w:rsidRPr="008E1CAD" w14:paraId="54394E63"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2EA6A07" w14:textId="0BD1637B"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Vd</w:t>
            </w:r>
          </w:p>
        </w:tc>
        <w:tc>
          <w:tcPr>
            <w:tcW w:w="1154" w:type="dxa"/>
            <w:tcBorders>
              <w:top w:val="none" w:sz="0" w:space="0" w:color="000000"/>
              <w:left w:val="none" w:sz="0" w:space="0" w:color="000000"/>
              <w:bottom w:val="none" w:sz="0" w:space="0" w:color="000000"/>
              <w:right w:val="none" w:sz="0" w:space="0" w:color="000000"/>
            </w:tcBorders>
            <w:vAlign w:val="center"/>
          </w:tcPr>
          <w:p w14:paraId="65F262D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68.7%</w:t>
            </w:r>
          </w:p>
        </w:tc>
        <w:tc>
          <w:tcPr>
            <w:tcW w:w="1141" w:type="dxa"/>
            <w:tcBorders>
              <w:top w:val="none" w:sz="0" w:space="0" w:color="000000"/>
              <w:left w:val="none" w:sz="0" w:space="0" w:color="000000"/>
              <w:bottom w:val="none" w:sz="0" w:space="0" w:color="000000"/>
              <w:right w:val="none" w:sz="0" w:space="0" w:color="000000"/>
            </w:tcBorders>
            <w:vAlign w:val="center"/>
          </w:tcPr>
          <w:p w14:paraId="1EC692D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63.8%</w:t>
            </w:r>
          </w:p>
        </w:tc>
        <w:tc>
          <w:tcPr>
            <w:tcW w:w="1140" w:type="dxa"/>
            <w:tcBorders>
              <w:top w:val="none" w:sz="0" w:space="0" w:color="000000"/>
              <w:left w:val="none" w:sz="0" w:space="0" w:color="000000"/>
              <w:bottom w:val="none" w:sz="0" w:space="0" w:color="000000"/>
              <w:right w:val="none" w:sz="0" w:space="0" w:color="000000"/>
            </w:tcBorders>
            <w:vAlign w:val="center"/>
          </w:tcPr>
          <w:p w14:paraId="42FC3FE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73.2%</w:t>
            </w:r>
          </w:p>
        </w:tc>
        <w:tc>
          <w:tcPr>
            <w:tcW w:w="1183" w:type="dxa"/>
            <w:tcBorders>
              <w:top w:val="none" w:sz="0" w:space="0" w:color="000000"/>
              <w:left w:val="none" w:sz="0" w:space="0" w:color="000000"/>
              <w:bottom w:val="none" w:sz="0" w:space="0" w:color="000000"/>
              <w:right w:val="none" w:sz="0" w:space="0" w:color="000000"/>
            </w:tcBorders>
            <w:vAlign w:val="center"/>
          </w:tcPr>
          <w:p w14:paraId="622CA68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65FCB36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253.352</w:t>
            </w:r>
          </w:p>
        </w:tc>
        <w:tc>
          <w:tcPr>
            <w:tcW w:w="1158" w:type="dxa"/>
            <w:tcBorders>
              <w:top w:val="none" w:sz="0" w:space="0" w:color="000000"/>
              <w:left w:val="none" w:sz="0" w:space="0" w:color="000000"/>
              <w:bottom w:val="none" w:sz="0" w:space="0" w:color="000000"/>
              <w:right w:val="none" w:sz="0" w:space="0" w:color="000000"/>
            </w:tcBorders>
            <w:vAlign w:val="center"/>
          </w:tcPr>
          <w:p w14:paraId="2A7B38A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115.393</w:t>
            </w:r>
          </w:p>
        </w:tc>
      </w:tr>
      <w:tr w:rsidR="00907E93" w:rsidRPr="008E1CAD" w14:paraId="3769EEEE"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580FF23" w14:textId="41332AA0"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VTd</w:t>
            </w:r>
          </w:p>
        </w:tc>
        <w:tc>
          <w:tcPr>
            <w:tcW w:w="1154" w:type="dxa"/>
            <w:tcBorders>
              <w:top w:val="none" w:sz="0" w:space="0" w:color="000000"/>
              <w:left w:val="none" w:sz="0" w:space="0" w:color="000000"/>
              <w:bottom w:val="none" w:sz="0" w:space="0" w:color="000000"/>
              <w:right w:val="none" w:sz="0" w:space="0" w:color="000000"/>
            </w:tcBorders>
            <w:vAlign w:val="center"/>
          </w:tcPr>
          <w:p w14:paraId="30C8AD0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77.5%</w:t>
            </w:r>
          </w:p>
        </w:tc>
        <w:tc>
          <w:tcPr>
            <w:tcW w:w="1141" w:type="dxa"/>
            <w:tcBorders>
              <w:top w:val="none" w:sz="0" w:space="0" w:color="000000"/>
              <w:left w:val="none" w:sz="0" w:space="0" w:color="000000"/>
              <w:bottom w:val="none" w:sz="0" w:space="0" w:color="000000"/>
              <w:right w:val="none" w:sz="0" w:space="0" w:color="000000"/>
            </w:tcBorders>
            <w:vAlign w:val="center"/>
          </w:tcPr>
          <w:p w14:paraId="1DA2615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64.8%</w:t>
            </w:r>
          </w:p>
        </w:tc>
        <w:tc>
          <w:tcPr>
            <w:tcW w:w="1140" w:type="dxa"/>
            <w:tcBorders>
              <w:top w:val="none" w:sz="0" w:space="0" w:color="000000"/>
              <w:left w:val="none" w:sz="0" w:space="0" w:color="000000"/>
              <w:bottom w:val="none" w:sz="0" w:space="0" w:color="000000"/>
              <w:right w:val="none" w:sz="0" w:space="0" w:color="000000"/>
            </w:tcBorders>
            <w:vAlign w:val="center"/>
          </w:tcPr>
          <w:p w14:paraId="797D669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86.6%</w:t>
            </w:r>
          </w:p>
        </w:tc>
        <w:tc>
          <w:tcPr>
            <w:tcW w:w="1183" w:type="dxa"/>
            <w:tcBorders>
              <w:top w:val="none" w:sz="0" w:space="0" w:color="000000"/>
              <w:left w:val="none" w:sz="0" w:space="0" w:color="000000"/>
              <w:bottom w:val="none" w:sz="0" w:space="0" w:color="000000"/>
              <w:right w:val="none" w:sz="0" w:space="0" w:color="000000"/>
            </w:tcBorders>
            <w:vAlign w:val="center"/>
          </w:tcPr>
          <w:p w14:paraId="5AD50E0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A885A3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43.252</w:t>
            </w:r>
          </w:p>
        </w:tc>
        <w:tc>
          <w:tcPr>
            <w:tcW w:w="1158" w:type="dxa"/>
            <w:tcBorders>
              <w:top w:val="none" w:sz="0" w:space="0" w:color="000000"/>
              <w:left w:val="none" w:sz="0" w:space="0" w:color="000000"/>
              <w:bottom w:val="none" w:sz="0" w:space="0" w:color="000000"/>
              <w:right w:val="none" w:sz="0" w:space="0" w:color="000000"/>
            </w:tcBorders>
            <w:vAlign w:val="center"/>
          </w:tcPr>
          <w:p w14:paraId="1BF8EB5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12.557</w:t>
            </w:r>
          </w:p>
        </w:tc>
      </w:tr>
      <w:tr w:rsidR="00907E93" w:rsidRPr="008E1CAD" w14:paraId="649D8B33"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5FFF760" w14:textId="792DB0F4"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77C212A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87.3%</w:t>
            </w:r>
          </w:p>
        </w:tc>
        <w:tc>
          <w:tcPr>
            <w:tcW w:w="1141" w:type="dxa"/>
            <w:tcBorders>
              <w:top w:val="none" w:sz="0" w:space="0" w:color="000000"/>
              <w:left w:val="none" w:sz="0" w:space="0" w:color="000000"/>
              <w:bottom w:val="none" w:sz="0" w:space="0" w:color="000000"/>
              <w:right w:val="none" w:sz="0" w:space="0" w:color="000000"/>
            </w:tcBorders>
            <w:vAlign w:val="center"/>
          </w:tcPr>
          <w:p w14:paraId="6B53CAA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80.3%</w:t>
            </w:r>
          </w:p>
        </w:tc>
        <w:tc>
          <w:tcPr>
            <w:tcW w:w="1140" w:type="dxa"/>
            <w:tcBorders>
              <w:top w:val="none" w:sz="0" w:space="0" w:color="000000"/>
              <w:left w:val="none" w:sz="0" w:space="0" w:color="000000"/>
              <w:bottom w:val="none" w:sz="0" w:space="0" w:color="000000"/>
              <w:right w:val="none" w:sz="0" w:space="0" w:color="000000"/>
            </w:tcBorders>
            <w:vAlign w:val="center"/>
          </w:tcPr>
          <w:p w14:paraId="0892EF2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92.1%</w:t>
            </w:r>
          </w:p>
        </w:tc>
        <w:tc>
          <w:tcPr>
            <w:tcW w:w="1183" w:type="dxa"/>
            <w:tcBorders>
              <w:top w:val="none" w:sz="0" w:space="0" w:color="000000"/>
              <w:left w:val="none" w:sz="0" w:space="0" w:color="000000"/>
              <w:bottom w:val="none" w:sz="0" w:space="0" w:color="000000"/>
              <w:right w:val="none" w:sz="0" w:space="0" w:color="000000"/>
            </w:tcBorders>
            <w:vAlign w:val="center"/>
          </w:tcPr>
          <w:p w14:paraId="07ED1D0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E7EA2E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105.936</w:t>
            </w:r>
          </w:p>
        </w:tc>
        <w:tc>
          <w:tcPr>
            <w:tcW w:w="1158" w:type="dxa"/>
            <w:tcBorders>
              <w:top w:val="none" w:sz="0" w:space="0" w:color="000000"/>
              <w:left w:val="none" w:sz="0" w:space="0" w:color="000000"/>
              <w:bottom w:val="none" w:sz="0" w:space="0" w:color="000000"/>
              <w:right w:val="none" w:sz="0" w:space="0" w:color="000000"/>
            </w:tcBorders>
            <w:vAlign w:val="center"/>
          </w:tcPr>
          <w:p w14:paraId="4B3C553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15.425</w:t>
            </w:r>
          </w:p>
        </w:tc>
      </w:tr>
      <w:tr w:rsidR="00AA6134" w:rsidRPr="008E1CAD" w14:paraId="2C0E1D4C"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tcPr>
          <w:p w14:paraId="572E7367" w14:textId="3677565D" w:rsidR="00AA6134" w:rsidRPr="008E1CAD" w:rsidRDefault="00AA6134" w:rsidP="00AA6134">
            <w:pPr>
              <w:spacing w:before="40" w:after="40"/>
              <w:rPr>
                <w:rFonts w:ascii="Times New Roman" w:eastAsia="Times New Roman" w:hAnsi="Times New Roman" w:cs="Times New Roman"/>
                <w:i/>
                <w:sz w:val="18"/>
              </w:rPr>
            </w:pPr>
            <w:r w:rsidRPr="008E1CAD">
              <w:rPr>
                <w:rFonts w:ascii="Times New Roman" w:eastAsia="Times New Roman" w:hAnsi="Times New Roman" w:cs="Times New Roman"/>
                <w:i/>
                <w:sz w:val="18"/>
              </w:rPr>
              <w:t>Monthly progression risk: front-line discontinuation for non-PD reasons (residual effects)</w:t>
            </w:r>
          </w:p>
        </w:tc>
      </w:tr>
      <w:tr w:rsidR="00907E93" w:rsidRPr="008E1CAD" w14:paraId="37FD2EF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486AF26" w14:textId="17B74C82"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iCT IRd</w:t>
            </w:r>
          </w:p>
        </w:tc>
        <w:tc>
          <w:tcPr>
            <w:tcW w:w="1154" w:type="dxa"/>
            <w:tcBorders>
              <w:top w:val="none" w:sz="0" w:space="0" w:color="000000"/>
              <w:left w:val="none" w:sz="0" w:space="0" w:color="000000"/>
              <w:bottom w:val="none" w:sz="0" w:space="0" w:color="000000"/>
              <w:right w:val="none" w:sz="0" w:space="0" w:color="000000"/>
            </w:tcBorders>
            <w:vAlign w:val="center"/>
          </w:tcPr>
          <w:p w14:paraId="2DFA03A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0.035</w:t>
            </w:r>
          </w:p>
        </w:tc>
        <w:tc>
          <w:tcPr>
            <w:tcW w:w="1141" w:type="dxa"/>
            <w:tcBorders>
              <w:top w:val="none" w:sz="0" w:space="0" w:color="000000"/>
              <w:left w:val="none" w:sz="0" w:space="0" w:color="000000"/>
              <w:bottom w:val="none" w:sz="0" w:space="0" w:color="000000"/>
              <w:right w:val="none" w:sz="0" w:space="0" w:color="000000"/>
            </w:tcBorders>
            <w:vAlign w:val="center"/>
          </w:tcPr>
          <w:p w14:paraId="6B6BA02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0.026</w:t>
            </w:r>
          </w:p>
        </w:tc>
        <w:tc>
          <w:tcPr>
            <w:tcW w:w="1140" w:type="dxa"/>
            <w:tcBorders>
              <w:top w:val="none" w:sz="0" w:space="0" w:color="000000"/>
              <w:left w:val="none" w:sz="0" w:space="0" w:color="000000"/>
              <w:bottom w:val="none" w:sz="0" w:space="0" w:color="000000"/>
              <w:right w:val="none" w:sz="0" w:space="0" w:color="000000"/>
            </w:tcBorders>
            <w:vAlign w:val="center"/>
          </w:tcPr>
          <w:p w14:paraId="1AEC84C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0.044</w:t>
            </w:r>
          </w:p>
        </w:tc>
        <w:tc>
          <w:tcPr>
            <w:tcW w:w="1183" w:type="dxa"/>
            <w:tcBorders>
              <w:top w:val="none" w:sz="0" w:space="0" w:color="000000"/>
              <w:left w:val="none" w:sz="0" w:space="0" w:color="000000"/>
              <w:bottom w:val="none" w:sz="0" w:space="0" w:color="000000"/>
              <w:right w:val="none" w:sz="0" w:space="0" w:color="000000"/>
            </w:tcBorders>
            <w:vAlign w:val="center"/>
          </w:tcPr>
          <w:p w14:paraId="7EAEF3E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8CFB97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96.446</w:t>
            </w:r>
          </w:p>
        </w:tc>
        <w:tc>
          <w:tcPr>
            <w:tcW w:w="1158" w:type="dxa"/>
            <w:tcBorders>
              <w:top w:val="none" w:sz="0" w:space="0" w:color="000000"/>
              <w:left w:val="none" w:sz="0" w:space="0" w:color="000000"/>
              <w:bottom w:val="none" w:sz="0" w:space="0" w:color="000000"/>
              <w:right w:val="none" w:sz="0" w:space="0" w:color="000000"/>
            </w:tcBorders>
            <w:vAlign w:val="center"/>
          </w:tcPr>
          <w:p w14:paraId="7409D354" w14:textId="1BFCCC1E" w:rsidR="00907E93" w:rsidRPr="008E1CAD" w:rsidRDefault="003F4001"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2644.191</w:t>
            </w:r>
          </w:p>
        </w:tc>
      </w:tr>
      <w:tr w:rsidR="00907E93" w:rsidRPr="008E1CAD" w14:paraId="5242C2DB"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06FF4725" w14:textId="0A79C135"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0A591DA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0.018</w:t>
            </w:r>
          </w:p>
        </w:tc>
        <w:tc>
          <w:tcPr>
            <w:tcW w:w="1141" w:type="dxa"/>
            <w:tcBorders>
              <w:top w:val="none" w:sz="0" w:space="0" w:color="000000"/>
              <w:left w:val="none" w:sz="0" w:space="0" w:color="000000"/>
              <w:bottom w:val="none" w:sz="0" w:space="0" w:color="000000"/>
              <w:right w:val="none" w:sz="0" w:space="0" w:color="000000"/>
            </w:tcBorders>
            <w:vAlign w:val="center"/>
          </w:tcPr>
          <w:p w14:paraId="17D24C0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0.004</w:t>
            </w:r>
          </w:p>
        </w:tc>
        <w:tc>
          <w:tcPr>
            <w:tcW w:w="1140" w:type="dxa"/>
            <w:tcBorders>
              <w:top w:val="none" w:sz="0" w:space="0" w:color="000000"/>
              <w:left w:val="none" w:sz="0" w:space="0" w:color="000000"/>
              <w:bottom w:val="none" w:sz="0" w:space="0" w:color="000000"/>
              <w:right w:val="none" w:sz="0" w:space="0" w:color="000000"/>
            </w:tcBorders>
            <w:vAlign w:val="center"/>
          </w:tcPr>
          <w:p w14:paraId="79BB9EA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0.057</w:t>
            </w:r>
          </w:p>
        </w:tc>
        <w:tc>
          <w:tcPr>
            <w:tcW w:w="1183" w:type="dxa"/>
            <w:tcBorders>
              <w:top w:val="none" w:sz="0" w:space="0" w:color="000000"/>
              <w:left w:val="none" w:sz="0" w:space="0" w:color="000000"/>
              <w:bottom w:val="none" w:sz="0" w:space="0" w:color="000000"/>
              <w:right w:val="none" w:sz="0" w:space="0" w:color="000000"/>
            </w:tcBorders>
            <w:vAlign w:val="center"/>
          </w:tcPr>
          <w:p w14:paraId="2DC16A8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702036A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1.659</w:t>
            </w:r>
          </w:p>
        </w:tc>
        <w:tc>
          <w:tcPr>
            <w:tcW w:w="1158" w:type="dxa"/>
            <w:tcBorders>
              <w:top w:val="none" w:sz="0" w:space="0" w:color="000000"/>
              <w:left w:val="none" w:sz="0" w:space="0" w:color="000000"/>
              <w:bottom w:val="none" w:sz="0" w:space="0" w:color="000000"/>
              <w:right w:val="none" w:sz="0" w:space="0" w:color="000000"/>
            </w:tcBorders>
            <w:vAlign w:val="center"/>
          </w:tcPr>
          <w:p w14:paraId="1EDE53D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92.665</w:t>
            </w:r>
          </w:p>
        </w:tc>
      </w:tr>
      <w:tr w:rsidR="00AA6134" w:rsidRPr="008E1CAD" w14:paraId="03E56373"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tcPr>
          <w:p w14:paraId="68CC6256" w14:textId="36AA3EE0" w:rsidR="00AA6134" w:rsidRPr="008E1CAD" w:rsidRDefault="00AA6134" w:rsidP="00AA6134">
            <w:pPr>
              <w:spacing w:before="40" w:after="40"/>
              <w:rPr>
                <w:rFonts w:ascii="Times New Roman" w:hAnsi="Times New Roman" w:cs="Times New Roman"/>
              </w:rPr>
            </w:pPr>
            <w:r w:rsidRPr="008E1CAD">
              <w:rPr>
                <w:rFonts w:ascii="Times New Roman" w:eastAsia="Times New Roman" w:hAnsi="Times New Roman" w:cs="Times New Roman"/>
                <w:i/>
                <w:sz w:val="18"/>
              </w:rPr>
              <w:t>Subsequent</w:t>
            </w:r>
            <w:r w:rsidR="005B3087" w:rsidRPr="008E1CAD">
              <w:rPr>
                <w:rFonts w:ascii="Times New Roman" w:eastAsia="Times New Roman" w:hAnsi="Times New Roman" w:cs="Times New Roman"/>
                <w:i/>
                <w:sz w:val="18"/>
              </w:rPr>
              <w:t>-line</w:t>
            </w:r>
            <w:r w:rsidRPr="008E1CAD">
              <w:rPr>
                <w:rFonts w:ascii="Times New Roman" w:eastAsia="Times New Roman" w:hAnsi="Times New Roman" w:cs="Times New Roman"/>
                <w:i/>
                <w:sz w:val="18"/>
              </w:rPr>
              <w:t xml:space="preserve"> induction therapy treatment response (ORR)</w:t>
            </w:r>
          </w:p>
        </w:tc>
      </w:tr>
      <w:tr w:rsidR="00907E93" w:rsidRPr="008E1CAD" w14:paraId="67ED5D4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224DCF7" w14:textId="1F9E7B7C"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2B3DAD5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84.5%</w:t>
            </w:r>
          </w:p>
        </w:tc>
        <w:tc>
          <w:tcPr>
            <w:tcW w:w="1141" w:type="dxa"/>
            <w:tcBorders>
              <w:top w:val="none" w:sz="0" w:space="0" w:color="000000"/>
              <w:left w:val="none" w:sz="0" w:space="0" w:color="000000"/>
              <w:bottom w:val="none" w:sz="0" w:space="0" w:color="000000"/>
              <w:right w:val="none" w:sz="0" w:space="0" w:color="000000"/>
            </w:tcBorders>
            <w:vAlign w:val="center"/>
          </w:tcPr>
          <w:p w14:paraId="782F087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55.2%</w:t>
            </w:r>
          </w:p>
        </w:tc>
        <w:tc>
          <w:tcPr>
            <w:tcW w:w="1140" w:type="dxa"/>
            <w:tcBorders>
              <w:top w:val="none" w:sz="0" w:space="0" w:color="000000"/>
              <w:left w:val="none" w:sz="0" w:space="0" w:color="000000"/>
              <w:bottom w:val="none" w:sz="0" w:space="0" w:color="000000"/>
              <w:right w:val="none" w:sz="0" w:space="0" w:color="000000"/>
            </w:tcBorders>
            <w:vAlign w:val="center"/>
          </w:tcPr>
          <w:p w14:paraId="3F64A9B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96.0%</w:t>
            </w:r>
          </w:p>
        </w:tc>
        <w:tc>
          <w:tcPr>
            <w:tcW w:w="1183" w:type="dxa"/>
            <w:tcBorders>
              <w:top w:val="none" w:sz="0" w:space="0" w:color="000000"/>
              <w:left w:val="none" w:sz="0" w:space="0" w:color="000000"/>
              <w:bottom w:val="none" w:sz="0" w:space="0" w:color="000000"/>
              <w:right w:val="none" w:sz="0" w:space="0" w:color="000000"/>
            </w:tcBorders>
            <w:vAlign w:val="center"/>
          </w:tcPr>
          <w:p w14:paraId="13D01F0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24272C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9.348</w:t>
            </w:r>
          </w:p>
        </w:tc>
        <w:tc>
          <w:tcPr>
            <w:tcW w:w="1158" w:type="dxa"/>
            <w:tcBorders>
              <w:top w:val="none" w:sz="0" w:space="0" w:color="000000"/>
              <w:left w:val="none" w:sz="0" w:space="0" w:color="000000"/>
              <w:bottom w:val="none" w:sz="0" w:space="0" w:color="000000"/>
              <w:right w:val="none" w:sz="0" w:space="0" w:color="000000"/>
            </w:tcBorders>
            <w:vAlign w:val="center"/>
          </w:tcPr>
          <w:p w14:paraId="3A3A417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1.710</w:t>
            </w:r>
          </w:p>
        </w:tc>
      </w:tr>
      <w:tr w:rsidR="00907E93" w:rsidRPr="008E1CAD" w14:paraId="2ED8FE11"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8201C60" w14:textId="1AD5D4ED"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DPd</w:t>
            </w:r>
          </w:p>
        </w:tc>
        <w:tc>
          <w:tcPr>
            <w:tcW w:w="1154" w:type="dxa"/>
            <w:tcBorders>
              <w:top w:val="none" w:sz="0" w:space="0" w:color="000000"/>
              <w:left w:val="none" w:sz="0" w:space="0" w:color="000000"/>
              <w:bottom w:val="none" w:sz="0" w:space="0" w:color="000000"/>
              <w:right w:val="none" w:sz="0" w:space="0" w:color="000000"/>
            </w:tcBorders>
            <w:vAlign w:val="center"/>
          </w:tcPr>
          <w:p w14:paraId="22ED4F7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75.9%</w:t>
            </w:r>
          </w:p>
        </w:tc>
        <w:tc>
          <w:tcPr>
            <w:tcW w:w="1141" w:type="dxa"/>
            <w:tcBorders>
              <w:top w:val="none" w:sz="0" w:space="0" w:color="000000"/>
              <w:left w:val="none" w:sz="0" w:space="0" w:color="000000"/>
              <w:bottom w:val="none" w:sz="0" w:space="0" w:color="000000"/>
              <w:right w:val="none" w:sz="0" w:space="0" w:color="000000"/>
            </w:tcBorders>
            <w:vAlign w:val="center"/>
          </w:tcPr>
          <w:p w14:paraId="050E51B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62.8%</w:t>
            </w:r>
          </w:p>
        </w:tc>
        <w:tc>
          <w:tcPr>
            <w:tcW w:w="1140" w:type="dxa"/>
            <w:tcBorders>
              <w:top w:val="none" w:sz="0" w:space="0" w:color="000000"/>
              <w:left w:val="none" w:sz="0" w:space="0" w:color="000000"/>
              <w:bottom w:val="none" w:sz="0" w:space="0" w:color="000000"/>
              <w:right w:val="none" w:sz="0" w:space="0" w:color="000000"/>
            </w:tcBorders>
            <w:vAlign w:val="center"/>
          </w:tcPr>
          <w:p w14:paraId="11627A6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85.5%</w:t>
            </w:r>
          </w:p>
        </w:tc>
        <w:tc>
          <w:tcPr>
            <w:tcW w:w="1183" w:type="dxa"/>
            <w:tcBorders>
              <w:top w:val="none" w:sz="0" w:space="0" w:color="000000"/>
              <w:left w:val="none" w:sz="0" w:space="0" w:color="000000"/>
              <w:bottom w:val="none" w:sz="0" w:space="0" w:color="000000"/>
              <w:right w:val="none" w:sz="0" w:space="0" w:color="000000"/>
            </w:tcBorders>
            <w:vAlign w:val="center"/>
          </w:tcPr>
          <w:p w14:paraId="09FEAAD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9ECE9C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40.808</w:t>
            </w:r>
          </w:p>
        </w:tc>
        <w:tc>
          <w:tcPr>
            <w:tcW w:w="1158" w:type="dxa"/>
            <w:tcBorders>
              <w:top w:val="none" w:sz="0" w:space="0" w:color="000000"/>
              <w:left w:val="none" w:sz="0" w:space="0" w:color="000000"/>
              <w:bottom w:val="none" w:sz="0" w:space="0" w:color="000000"/>
              <w:right w:val="none" w:sz="0" w:space="0" w:color="000000"/>
            </w:tcBorders>
            <w:vAlign w:val="center"/>
          </w:tcPr>
          <w:p w14:paraId="60D036F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12.939</w:t>
            </w:r>
          </w:p>
        </w:tc>
      </w:tr>
      <w:tr w:rsidR="00907E93" w:rsidRPr="008E1CAD" w14:paraId="0F4985C7"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5979A55" w14:textId="7ADAAA1F"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lastRenderedPageBreak/>
              <w:t>Dd</w:t>
            </w:r>
          </w:p>
        </w:tc>
        <w:tc>
          <w:tcPr>
            <w:tcW w:w="1154" w:type="dxa"/>
            <w:tcBorders>
              <w:top w:val="none" w:sz="0" w:space="0" w:color="000000"/>
              <w:left w:val="none" w:sz="0" w:space="0" w:color="000000"/>
              <w:bottom w:val="none" w:sz="0" w:space="0" w:color="000000"/>
              <w:right w:val="none" w:sz="0" w:space="0" w:color="000000"/>
            </w:tcBorders>
            <w:vAlign w:val="center"/>
          </w:tcPr>
          <w:p w14:paraId="340885A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28.6%</w:t>
            </w:r>
          </w:p>
        </w:tc>
        <w:tc>
          <w:tcPr>
            <w:tcW w:w="1141" w:type="dxa"/>
            <w:tcBorders>
              <w:top w:val="none" w:sz="0" w:space="0" w:color="000000"/>
              <w:left w:val="none" w:sz="0" w:space="0" w:color="000000"/>
              <w:bottom w:val="none" w:sz="0" w:space="0" w:color="000000"/>
              <w:right w:val="none" w:sz="0" w:space="0" w:color="000000"/>
            </w:tcBorders>
            <w:vAlign w:val="center"/>
          </w:tcPr>
          <w:p w14:paraId="45FBF1D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7.2%</w:t>
            </w:r>
          </w:p>
        </w:tc>
        <w:tc>
          <w:tcPr>
            <w:tcW w:w="1140" w:type="dxa"/>
            <w:tcBorders>
              <w:top w:val="none" w:sz="0" w:space="0" w:color="000000"/>
              <w:left w:val="none" w:sz="0" w:space="0" w:color="000000"/>
              <w:bottom w:val="none" w:sz="0" w:space="0" w:color="000000"/>
              <w:right w:val="none" w:sz="0" w:space="0" w:color="000000"/>
            </w:tcBorders>
            <w:vAlign w:val="center"/>
          </w:tcPr>
          <w:p w14:paraId="6D78C7D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67.3%</w:t>
            </w:r>
          </w:p>
        </w:tc>
        <w:tc>
          <w:tcPr>
            <w:tcW w:w="1183" w:type="dxa"/>
            <w:tcBorders>
              <w:top w:val="none" w:sz="0" w:space="0" w:color="000000"/>
              <w:left w:val="none" w:sz="0" w:space="0" w:color="000000"/>
              <w:bottom w:val="none" w:sz="0" w:space="0" w:color="000000"/>
              <w:right w:val="none" w:sz="0" w:space="0" w:color="000000"/>
            </w:tcBorders>
            <w:vAlign w:val="center"/>
          </w:tcPr>
          <w:p w14:paraId="4D96CEE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D8B76D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2.192</w:t>
            </w:r>
          </w:p>
        </w:tc>
        <w:tc>
          <w:tcPr>
            <w:tcW w:w="1158" w:type="dxa"/>
            <w:tcBorders>
              <w:top w:val="none" w:sz="0" w:space="0" w:color="000000"/>
              <w:left w:val="none" w:sz="0" w:space="0" w:color="000000"/>
              <w:bottom w:val="none" w:sz="0" w:space="0" w:color="000000"/>
              <w:right w:val="none" w:sz="0" w:space="0" w:color="000000"/>
            </w:tcBorders>
            <w:vAlign w:val="center"/>
          </w:tcPr>
          <w:p w14:paraId="5A5BD00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5.480</w:t>
            </w:r>
          </w:p>
        </w:tc>
      </w:tr>
      <w:tr w:rsidR="00907E93" w:rsidRPr="008E1CAD" w14:paraId="66ED2FCA"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29DCADC" w14:textId="6FCD309A"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 xml:space="preserve">Dara Monotherapy </w:t>
            </w:r>
          </w:p>
        </w:tc>
        <w:tc>
          <w:tcPr>
            <w:tcW w:w="1154" w:type="dxa"/>
            <w:tcBorders>
              <w:top w:val="none" w:sz="0" w:space="0" w:color="000000"/>
              <w:left w:val="none" w:sz="0" w:space="0" w:color="000000"/>
              <w:bottom w:val="none" w:sz="0" w:space="0" w:color="000000"/>
              <w:right w:val="none" w:sz="0" w:space="0" w:color="000000"/>
            </w:tcBorders>
            <w:vAlign w:val="center"/>
          </w:tcPr>
          <w:p w14:paraId="4A7C09C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54.0%</w:t>
            </w:r>
          </w:p>
        </w:tc>
        <w:tc>
          <w:tcPr>
            <w:tcW w:w="1141" w:type="dxa"/>
            <w:tcBorders>
              <w:top w:val="none" w:sz="0" w:space="0" w:color="000000"/>
              <w:left w:val="none" w:sz="0" w:space="0" w:color="000000"/>
              <w:bottom w:val="none" w:sz="0" w:space="0" w:color="000000"/>
              <w:right w:val="none" w:sz="0" w:space="0" w:color="000000"/>
            </w:tcBorders>
            <w:vAlign w:val="center"/>
          </w:tcPr>
          <w:p w14:paraId="1390D9F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40.2%</w:t>
            </w:r>
          </w:p>
        </w:tc>
        <w:tc>
          <w:tcPr>
            <w:tcW w:w="1140" w:type="dxa"/>
            <w:tcBorders>
              <w:top w:val="none" w:sz="0" w:space="0" w:color="000000"/>
              <w:left w:val="none" w:sz="0" w:space="0" w:color="000000"/>
              <w:bottom w:val="none" w:sz="0" w:space="0" w:color="000000"/>
              <w:right w:val="none" w:sz="0" w:space="0" w:color="000000"/>
            </w:tcBorders>
            <w:vAlign w:val="center"/>
          </w:tcPr>
          <w:p w14:paraId="3705853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67.2%</w:t>
            </w:r>
          </w:p>
        </w:tc>
        <w:tc>
          <w:tcPr>
            <w:tcW w:w="1183" w:type="dxa"/>
            <w:tcBorders>
              <w:top w:val="none" w:sz="0" w:space="0" w:color="000000"/>
              <w:left w:val="none" w:sz="0" w:space="0" w:color="000000"/>
              <w:bottom w:val="none" w:sz="0" w:space="0" w:color="000000"/>
              <w:right w:val="none" w:sz="0" w:space="0" w:color="000000"/>
            </w:tcBorders>
            <w:vAlign w:val="center"/>
          </w:tcPr>
          <w:p w14:paraId="69D424D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A96E74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27.837</w:t>
            </w:r>
          </w:p>
        </w:tc>
        <w:tc>
          <w:tcPr>
            <w:tcW w:w="1158" w:type="dxa"/>
            <w:tcBorders>
              <w:top w:val="none" w:sz="0" w:space="0" w:color="000000"/>
              <w:left w:val="none" w:sz="0" w:space="0" w:color="000000"/>
              <w:bottom w:val="none" w:sz="0" w:space="0" w:color="000000"/>
              <w:right w:val="none" w:sz="0" w:space="0" w:color="000000"/>
            </w:tcBorders>
            <w:vAlign w:val="center"/>
          </w:tcPr>
          <w:p w14:paraId="5A32B8E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23.713</w:t>
            </w:r>
          </w:p>
        </w:tc>
      </w:tr>
      <w:tr w:rsidR="00907E93" w:rsidRPr="008E1CAD" w14:paraId="516A94F0"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44F5477" w14:textId="4A230CA2"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VPd</w:t>
            </w:r>
          </w:p>
        </w:tc>
        <w:tc>
          <w:tcPr>
            <w:tcW w:w="1154" w:type="dxa"/>
            <w:tcBorders>
              <w:top w:val="none" w:sz="0" w:space="0" w:color="000000"/>
              <w:left w:val="none" w:sz="0" w:space="0" w:color="000000"/>
              <w:bottom w:val="none" w:sz="0" w:space="0" w:color="000000"/>
              <w:right w:val="none" w:sz="0" w:space="0" w:color="000000"/>
            </w:tcBorders>
            <w:vAlign w:val="center"/>
          </w:tcPr>
          <w:p w14:paraId="62682B4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82.0%</w:t>
            </w:r>
          </w:p>
        </w:tc>
        <w:tc>
          <w:tcPr>
            <w:tcW w:w="1141" w:type="dxa"/>
            <w:tcBorders>
              <w:top w:val="none" w:sz="0" w:space="0" w:color="000000"/>
              <w:left w:val="none" w:sz="0" w:space="0" w:color="000000"/>
              <w:bottom w:val="none" w:sz="0" w:space="0" w:color="000000"/>
              <w:right w:val="none" w:sz="0" w:space="0" w:color="000000"/>
            </w:tcBorders>
            <w:vAlign w:val="center"/>
          </w:tcPr>
          <w:p w14:paraId="515118A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67.8%</w:t>
            </w:r>
          </w:p>
        </w:tc>
        <w:tc>
          <w:tcPr>
            <w:tcW w:w="1140" w:type="dxa"/>
            <w:tcBorders>
              <w:top w:val="none" w:sz="0" w:space="0" w:color="000000"/>
              <w:left w:val="none" w:sz="0" w:space="0" w:color="000000"/>
              <w:bottom w:val="none" w:sz="0" w:space="0" w:color="000000"/>
              <w:right w:val="none" w:sz="0" w:space="0" w:color="000000"/>
            </w:tcBorders>
            <w:vAlign w:val="center"/>
          </w:tcPr>
          <w:p w14:paraId="2F2BEB6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90.8%</w:t>
            </w:r>
          </w:p>
        </w:tc>
        <w:tc>
          <w:tcPr>
            <w:tcW w:w="1183" w:type="dxa"/>
            <w:tcBorders>
              <w:top w:val="none" w:sz="0" w:space="0" w:color="000000"/>
              <w:left w:val="none" w:sz="0" w:space="0" w:color="000000"/>
              <w:bottom w:val="none" w:sz="0" w:space="0" w:color="000000"/>
              <w:right w:val="none" w:sz="0" w:space="0" w:color="000000"/>
            </w:tcBorders>
            <w:vAlign w:val="center"/>
          </w:tcPr>
          <w:p w14:paraId="42F1B5D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DDAC00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34.422</w:t>
            </w:r>
          </w:p>
        </w:tc>
        <w:tc>
          <w:tcPr>
            <w:tcW w:w="1158" w:type="dxa"/>
            <w:tcBorders>
              <w:top w:val="none" w:sz="0" w:space="0" w:color="000000"/>
              <w:left w:val="none" w:sz="0" w:space="0" w:color="000000"/>
              <w:bottom w:val="none" w:sz="0" w:space="0" w:color="000000"/>
              <w:right w:val="none" w:sz="0" w:space="0" w:color="000000"/>
            </w:tcBorders>
            <w:vAlign w:val="center"/>
          </w:tcPr>
          <w:p w14:paraId="5C05466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7.572</w:t>
            </w:r>
          </w:p>
        </w:tc>
      </w:tr>
      <w:tr w:rsidR="00907E93" w:rsidRPr="008E1CAD" w14:paraId="40A74CFC"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00E0ABE2" w14:textId="4E002949"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VCd</w:t>
            </w:r>
          </w:p>
        </w:tc>
        <w:tc>
          <w:tcPr>
            <w:tcW w:w="1154" w:type="dxa"/>
            <w:tcBorders>
              <w:top w:val="none" w:sz="0" w:space="0" w:color="000000"/>
              <w:left w:val="none" w:sz="0" w:space="0" w:color="000000"/>
              <w:bottom w:val="none" w:sz="0" w:space="0" w:color="000000"/>
              <w:right w:val="none" w:sz="0" w:space="0" w:color="000000"/>
            </w:tcBorders>
            <w:vAlign w:val="center"/>
          </w:tcPr>
          <w:p w14:paraId="462EB7C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81.8%</w:t>
            </w:r>
          </w:p>
        </w:tc>
        <w:tc>
          <w:tcPr>
            <w:tcW w:w="1141" w:type="dxa"/>
            <w:tcBorders>
              <w:top w:val="none" w:sz="0" w:space="0" w:color="000000"/>
              <w:left w:val="none" w:sz="0" w:space="0" w:color="000000"/>
              <w:bottom w:val="none" w:sz="0" w:space="0" w:color="000000"/>
              <w:right w:val="none" w:sz="0" w:space="0" w:color="000000"/>
            </w:tcBorders>
            <w:vAlign w:val="center"/>
          </w:tcPr>
          <w:p w14:paraId="094CE30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49.3%</w:t>
            </w:r>
          </w:p>
        </w:tc>
        <w:tc>
          <w:tcPr>
            <w:tcW w:w="1140" w:type="dxa"/>
            <w:tcBorders>
              <w:top w:val="none" w:sz="0" w:space="0" w:color="000000"/>
              <w:left w:val="none" w:sz="0" w:space="0" w:color="000000"/>
              <w:bottom w:val="none" w:sz="0" w:space="0" w:color="000000"/>
              <w:right w:val="none" w:sz="0" w:space="0" w:color="000000"/>
            </w:tcBorders>
            <w:vAlign w:val="center"/>
          </w:tcPr>
          <w:p w14:paraId="65AE360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95.4%</w:t>
            </w:r>
          </w:p>
        </w:tc>
        <w:tc>
          <w:tcPr>
            <w:tcW w:w="1183" w:type="dxa"/>
            <w:tcBorders>
              <w:top w:val="none" w:sz="0" w:space="0" w:color="000000"/>
              <w:left w:val="none" w:sz="0" w:space="0" w:color="000000"/>
              <w:bottom w:val="none" w:sz="0" w:space="0" w:color="000000"/>
              <w:right w:val="none" w:sz="0" w:space="0" w:color="000000"/>
            </w:tcBorders>
            <w:vAlign w:val="center"/>
          </w:tcPr>
          <w:p w14:paraId="675C2E2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5664103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7.977</w:t>
            </w:r>
          </w:p>
        </w:tc>
        <w:tc>
          <w:tcPr>
            <w:tcW w:w="1158" w:type="dxa"/>
            <w:tcBorders>
              <w:top w:val="none" w:sz="0" w:space="0" w:color="000000"/>
              <w:left w:val="none" w:sz="0" w:space="0" w:color="000000"/>
              <w:bottom w:val="none" w:sz="0" w:space="0" w:color="000000"/>
              <w:right w:val="none" w:sz="0" w:space="0" w:color="000000"/>
            </w:tcBorders>
            <w:vAlign w:val="center"/>
          </w:tcPr>
          <w:p w14:paraId="57CF241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1.775</w:t>
            </w:r>
          </w:p>
        </w:tc>
      </w:tr>
      <w:tr w:rsidR="00907E93" w:rsidRPr="008E1CAD" w14:paraId="258B8C0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D412AD9" w14:textId="5CAB64B1"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Pd</w:t>
            </w:r>
          </w:p>
        </w:tc>
        <w:tc>
          <w:tcPr>
            <w:tcW w:w="1154" w:type="dxa"/>
            <w:tcBorders>
              <w:top w:val="none" w:sz="0" w:space="0" w:color="000000"/>
              <w:left w:val="none" w:sz="0" w:space="0" w:color="000000"/>
              <w:bottom w:val="none" w:sz="0" w:space="0" w:color="000000"/>
              <w:right w:val="none" w:sz="0" w:space="0" w:color="000000"/>
            </w:tcBorders>
            <w:vAlign w:val="center"/>
          </w:tcPr>
          <w:p w14:paraId="7815B5B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51.8%</w:t>
            </w:r>
          </w:p>
        </w:tc>
        <w:tc>
          <w:tcPr>
            <w:tcW w:w="1141" w:type="dxa"/>
            <w:tcBorders>
              <w:top w:val="none" w:sz="0" w:space="0" w:color="000000"/>
              <w:left w:val="none" w:sz="0" w:space="0" w:color="000000"/>
              <w:bottom w:val="none" w:sz="0" w:space="0" w:color="000000"/>
              <w:right w:val="none" w:sz="0" w:space="0" w:color="000000"/>
            </w:tcBorders>
            <w:vAlign w:val="center"/>
          </w:tcPr>
          <w:p w14:paraId="73E973D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29.6%</w:t>
            </w:r>
          </w:p>
        </w:tc>
        <w:tc>
          <w:tcPr>
            <w:tcW w:w="1140" w:type="dxa"/>
            <w:tcBorders>
              <w:top w:val="none" w:sz="0" w:space="0" w:color="000000"/>
              <w:left w:val="none" w:sz="0" w:space="0" w:color="000000"/>
              <w:bottom w:val="none" w:sz="0" w:space="0" w:color="000000"/>
              <w:right w:val="none" w:sz="0" w:space="0" w:color="000000"/>
            </w:tcBorders>
            <w:vAlign w:val="center"/>
          </w:tcPr>
          <w:p w14:paraId="5E0CEB4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73.3%</w:t>
            </w:r>
          </w:p>
        </w:tc>
        <w:tc>
          <w:tcPr>
            <w:tcW w:w="1183" w:type="dxa"/>
            <w:tcBorders>
              <w:top w:val="none" w:sz="0" w:space="0" w:color="000000"/>
              <w:left w:val="none" w:sz="0" w:space="0" w:color="000000"/>
              <w:bottom w:val="none" w:sz="0" w:space="0" w:color="000000"/>
              <w:right w:val="none" w:sz="0" w:space="0" w:color="000000"/>
            </w:tcBorders>
            <w:vAlign w:val="center"/>
          </w:tcPr>
          <w:p w14:paraId="30AAA7E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DF75F9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9.890</w:t>
            </w:r>
          </w:p>
        </w:tc>
        <w:tc>
          <w:tcPr>
            <w:tcW w:w="1158" w:type="dxa"/>
            <w:tcBorders>
              <w:top w:val="none" w:sz="0" w:space="0" w:color="000000"/>
              <w:left w:val="none" w:sz="0" w:space="0" w:color="000000"/>
              <w:bottom w:val="none" w:sz="0" w:space="0" w:color="000000"/>
              <w:right w:val="none" w:sz="0" w:space="0" w:color="000000"/>
            </w:tcBorders>
            <w:vAlign w:val="center"/>
          </w:tcPr>
          <w:p w14:paraId="361A2F0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9.217</w:t>
            </w:r>
          </w:p>
        </w:tc>
      </w:tr>
      <w:tr w:rsidR="00907E93" w:rsidRPr="008E1CAD" w14:paraId="337C23A1"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587592E" w14:textId="41ED7C29"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KRd</w:t>
            </w:r>
          </w:p>
        </w:tc>
        <w:tc>
          <w:tcPr>
            <w:tcW w:w="1154" w:type="dxa"/>
            <w:tcBorders>
              <w:top w:val="none" w:sz="0" w:space="0" w:color="000000"/>
              <w:left w:val="none" w:sz="0" w:space="0" w:color="000000"/>
              <w:bottom w:val="none" w:sz="0" w:space="0" w:color="000000"/>
              <w:right w:val="none" w:sz="0" w:space="0" w:color="000000"/>
            </w:tcBorders>
            <w:vAlign w:val="center"/>
          </w:tcPr>
          <w:p w14:paraId="647530D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82.9%</w:t>
            </w:r>
          </w:p>
        </w:tc>
        <w:tc>
          <w:tcPr>
            <w:tcW w:w="1141" w:type="dxa"/>
            <w:tcBorders>
              <w:top w:val="none" w:sz="0" w:space="0" w:color="000000"/>
              <w:left w:val="none" w:sz="0" w:space="0" w:color="000000"/>
              <w:bottom w:val="none" w:sz="0" w:space="0" w:color="000000"/>
              <w:right w:val="none" w:sz="0" w:space="0" w:color="000000"/>
            </w:tcBorders>
            <w:vAlign w:val="center"/>
          </w:tcPr>
          <w:p w14:paraId="7EDFC77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64.1%</w:t>
            </w:r>
          </w:p>
        </w:tc>
        <w:tc>
          <w:tcPr>
            <w:tcW w:w="1140" w:type="dxa"/>
            <w:tcBorders>
              <w:top w:val="none" w:sz="0" w:space="0" w:color="000000"/>
              <w:left w:val="none" w:sz="0" w:space="0" w:color="000000"/>
              <w:bottom w:val="none" w:sz="0" w:space="0" w:color="000000"/>
              <w:right w:val="none" w:sz="0" w:space="0" w:color="000000"/>
            </w:tcBorders>
            <w:vAlign w:val="center"/>
          </w:tcPr>
          <w:p w14:paraId="69F47A9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93.0%</w:t>
            </w:r>
          </w:p>
        </w:tc>
        <w:tc>
          <w:tcPr>
            <w:tcW w:w="1183" w:type="dxa"/>
            <w:tcBorders>
              <w:top w:val="none" w:sz="0" w:space="0" w:color="000000"/>
              <w:left w:val="none" w:sz="0" w:space="0" w:color="000000"/>
              <w:bottom w:val="none" w:sz="0" w:space="0" w:color="000000"/>
              <w:right w:val="none" w:sz="0" w:space="0" w:color="000000"/>
            </w:tcBorders>
            <w:vAlign w:val="center"/>
          </w:tcPr>
          <w:p w14:paraId="630F189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552E513C"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20.882</w:t>
            </w:r>
          </w:p>
        </w:tc>
        <w:tc>
          <w:tcPr>
            <w:tcW w:w="1158" w:type="dxa"/>
            <w:tcBorders>
              <w:top w:val="none" w:sz="0" w:space="0" w:color="000000"/>
              <w:left w:val="none" w:sz="0" w:space="0" w:color="000000"/>
              <w:bottom w:val="none" w:sz="0" w:space="0" w:color="000000"/>
              <w:right w:val="none" w:sz="0" w:space="0" w:color="000000"/>
            </w:tcBorders>
            <w:vAlign w:val="center"/>
          </w:tcPr>
          <w:p w14:paraId="6CEF4D7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4.300</w:t>
            </w:r>
          </w:p>
        </w:tc>
      </w:tr>
      <w:tr w:rsidR="00907E93" w:rsidRPr="008E1CAD" w14:paraId="2F4AA01B"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C6F96F4" w14:textId="0F60709B"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Kd</w:t>
            </w:r>
          </w:p>
        </w:tc>
        <w:tc>
          <w:tcPr>
            <w:tcW w:w="1154" w:type="dxa"/>
            <w:tcBorders>
              <w:top w:val="none" w:sz="0" w:space="0" w:color="000000"/>
              <w:left w:val="none" w:sz="0" w:space="0" w:color="000000"/>
              <w:bottom w:val="none" w:sz="0" w:space="0" w:color="000000"/>
              <w:right w:val="none" w:sz="0" w:space="0" w:color="000000"/>
            </w:tcBorders>
            <w:vAlign w:val="center"/>
          </w:tcPr>
          <w:p w14:paraId="1FFEE2B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64.6%</w:t>
            </w:r>
          </w:p>
        </w:tc>
        <w:tc>
          <w:tcPr>
            <w:tcW w:w="1141" w:type="dxa"/>
            <w:tcBorders>
              <w:top w:val="none" w:sz="0" w:space="0" w:color="000000"/>
              <w:left w:val="none" w:sz="0" w:space="0" w:color="000000"/>
              <w:bottom w:val="none" w:sz="0" w:space="0" w:color="000000"/>
              <w:right w:val="none" w:sz="0" w:space="0" w:color="000000"/>
            </w:tcBorders>
            <w:vAlign w:val="center"/>
          </w:tcPr>
          <w:p w14:paraId="104C325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46.7%</w:t>
            </w:r>
          </w:p>
        </w:tc>
        <w:tc>
          <w:tcPr>
            <w:tcW w:w="1140" w:type="dxa"/>
            <w:tcBorders>
              <w:top w:val="none" w:sz="0" w:space="0" w:color="000000"/>
              <w:left w:val="none" w:sz="0" w:space="0" w:color="000000"/>
              <w:bottom w:val="none" w:sz="0" w:space="0" w:color="000000"/>
              <w:right w:val="none" w:sz="0" w:space="0" w:color="000000"/>
            </w:tcBorders>
            <w:vAlign w:val="center"/>
          </w:tcPr>
          <w:p w14:paraId="56330AD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79.1%</w:t>
            </w:r>
          </w:p>
        </w:tc>
        <w:tc>
          <w:tcPr>
            <w:tcW w:w="1183" w:type="dxa"/>
            <w:tcBorders>
              <w:top w:val="none" w:sz="0" w:space="0" w:color="000000"/>
              <w:left w:val="none" w:sz="0" w:space="0" w:color="000000"/>
              <w:bottom w:val="none" w:sz="0" w:space="0" w:color="000000"/>
              <w:right w:val="none" w:sz="0" w:space="0" w:color="000000"/>
            </w:tcBorders>
            <w:vAlign w:val="center"/>
          </w:tcPr>
          <w:p w14:paraId="7F34BE6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578D0B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21.019</w:t>
            </w:r>
          </w:p>
        </w:tc>
        <w:tc>
          <w:tcPr>
            <w:tcW w:w="1158" w:type="dxa"/>
            <w:tcBorders>
              <w:top w:val="none" w:sz="0" w:space="0" w:color="000000"/>
              <w:left w:val="none" w:sz="0" w:space="0" w:color="000000"/>
              <w:bottom w:val="none" w:sz="0" w:space="0" w:color="000000"/>
              <w:right w:val="none" w:sz="0" w:space="0" w:color="000000"/>
            </w:tcBorders>
            <w:vAlign w:val="center"/>
          </w:tcPr>
          <w:p w14:paraId="26EB633B"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11.531</w:t>
            </w:r>
          </w:p>
        </w:tc>
      </w:tr>
      <w:tr w:rsidR="00907E93" w:rsidRPr="008E1CAD" w14:paraId="44C1D07C"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CED0532" w14:textId="028A889D"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Rd</w:t>
            </w:r>
          </w:p>
        </w:tc>
        <w:tc>
          <w:tcPr>
            <w:tcW w:w="1154" w:type="dxa"/>
            <w:tcBorders>
              <w:top w:val="none" w:sz="0" w:space="0" w:color="000000"/>
              <w:left w:val="none" w:sz="0" w:space="0" w:color="000000"/>
              <w:bottom w:val="none" w:sz="0" w:space="0" w:color="000000"/>
              <w:right w:val="none" w:sz="0" w:space="0" w:color="000000"/>
            </w:tcBorders>
            <w:vAlign w:val="center"/>
          </w:tcPr>
          <w:p w14:paraId="0BED43C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58.8%</w:t>
            </w:r>
          </w:p>
        </w:tc>
        <w:tc>
          <w:tcPr>
            <w:tcW w:w="1141" w:type="dxa"/>
            <w:tcBorders>
              <w:top w:val="none" w:sz="0" w:space="0" w:color="000000"/>
              <w:left w:val="none" w:sz="0" w:space="0" w:color="000000"/>
              <w:bottom w:val="none" w:sz="0" w:space="0" w:color="000000"/>
              <w:right w:val="none" w:sz="0" w:space="0" w:color="000000"/>
            </w:tcBorders>
            <w:vAlign w:val="center"/>
          </w:tcPr>
          <w:p w14:paraId="284D0ED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50.8%</w:t>
            </w:r>
          </w:p>
        </w:tc>
        <w:tc>
          <w:tcPr>
            <w:tcW w:w="1140" w:type="dxa"/>
            <w:tcBorders>
              <w:top w:val="none" w:sz="0" w:space="0" w:color="000000"/>
              <w:left w:val="none" w:sz="0" w:space="0" w:color="000000"/>
              <w:bottom w:val="none" w:sz="0" w:space="0" w:color="000000"/>
              <w:right w:val="none" w:sz="0" w:space="0" w:color="000000"/>
            </w:tcBorders>
            <w:vAlign w:val="center"/>
          </w:tcPr>
          <w:p w14:paraId="2F4026A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66.4%</w:t>
            </w:r>
          </w:p>
        </w:tc>
        <w:tc>
          <w:tcPr>
            <w:tcW w:w="1183" w:type="dxa"/>
            <w:tcBorders>
              <w:top w:val="none" w:sz="0" w:space="0" w:color="000000"/>
              <w:left w:val="none" w:sz="0" w:space="0" w:color="000000"/>
              <w:bottom w:val="none" w:sz="0" w:space="0" w:color="000000"/>
              <w:right w:val="none" w:sz="0" w:space="0" w:color="000000"/>
            </w:tcBorders>
            <w:vAlign w:val="center"/>
          </w:tcPr>
          <w:p w14:paraId="4B16A902"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F5E863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88.714</w:t>
            </w:r>
          </w:p>
        </w:tc>
        <w:tc>
          <w:tcPr>
            <w:tcW w:w="1158" w:type="dxa"/>
            <w:tcBorders>
              <w:top w:val="none" w:sz="0" w:space="0" w:color="000000"/>
              <w:left w:val="none" w:sz="0" w:space="0" w:color="000000"/>
              <w:bottom w:val="none" w:sz="0" w:space="0" w:color="000000"/>
              <w:right w:val="none" w:sz="0" w:space="0" w:color="000000"/>
            </w:tcBorders>
            <w:vAlign w:val="center"/>
          </w:tcPr>
          <w:p w14:paraId="2850F48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62.078</w:t>
            </w:r>
          </w:p>
        </w:tc>
      </w:tr>
      <w:tr w:rsidR="00AA6134" w:rsidRPr="008E1CAD" w14:paraId="3EBF7CE0"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tcPr>
          <w:p w14:paraId="452BDCB9" w14:textId="73D098FB" w:rsidR="00AA6134" w:rsidRPr="008E1CAD" w:rsidRDefault="00AA6134" w:rsidP="00AA6134">
            <w:pPr>
              <w:spacing w:before="40" w:after="40"/>
              <w:rPr>
                <w:rFonts w:ascii="Times New Roman" w:hAnsi="Times New Roman" w:cs="Times New Roman"/>
              </w:rPr>
            </w:pPr>
            <w:r w:rsidRPr="008E1CAD">
              <w:rPr>
                <w:rFonts w:ascii="Times New Roman" w:eastAsia="Times New Roman" w:hAnsi="Times New Roman" w:cs="Times New Roman"/>
                <w:i/>
                <w:sz w:val="18"/>
              </w:rPr>
              <w:t>Subsequent</w:t>
            </w:r>
            <w:r w:rsidR="005B3087" w:rsidRPr="008E1CAD">
              <w:rPr>
                <w:rFonts w:ascii="Times New Roman" w:eastAsia="Times New Roman" w:hAnsi="Times New Roman" w:cs="Times New Roman"/>
                <w:i/>
                <w:sz w:val="18"/>
              </w:rPr>
              <w:t>-line</w:t>
            </w:r>
            <w:r w:rsidRPr="008E1CAD">
              <w:rPr>
                <w:rFonts w:ascii="Times New Roman" w:eastAsia="Times New Roman" w:hAnsi="Times New Roman" w:cs="Times New Roman"/>
                <w:i/>
                <w:sz w:val="18"/>
              </w:rPr>
              <w:t xml:space="preserve"> continuous therapy monthly progression risk</w:t>
            </w:r>
          </w:p>
        </w:tc>
      </w:tr>
      <w:tr w:rsidR="00365058" w:rsidRPr="008E1CAD" w14:paraId="48D5F11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32664C8" w14:textId="0A117CB3"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02F52A78"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0.039</w:t>
            </w:r>
          </w:p>
        </w:tc>
        <w:tc>
          <w:tcPr>
            <w:tcW w:w="1141" w:type="dxa"/>
            <w:tcBorders>
              <w:top w:val="none" w:sz="0" w:space="0" w:color="000000"/>
              <w:left w:val="none" w:sz="0" w:space="0" w:color="000000"/>
              <w:bottom w:val="none" w:sz="0" w:space="0" w:color="000000"/>
              <w:right w:val="none" w:sz="0" w:space="0" w:color="000000"/>
            </w:tcBorders>
            <w:vAlign w:val="center"/>
          </w:tcPr>
          <w:p w14:paraId="126B00F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0.013</w:t>
            </w:r>
          </w:p>
        </w:tc>
        <w:tc>
          <w:tcPr>
            <w:tcW w:w="1140" w:type="dxa"/>
            <w:tcBorders>
              <w:top w:val="none" w:sz="0" w:space="0" w:color="000000"/>
              <w:left w:val="none" w:sz="0" w:space="0" w:color="000000"/>
              <w:bottom w:val="none" w:sz="0" w:space="0" w:color="000000"/>
              <w:right w:val="none" w:sz="0" w:space="0" w:color="000000"/>
            </w:tcBorders>
            <w:vAlign w:val="center"/>
          </w:tcPr>
          <w:p w14:paraId="2E1075C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0.107</w:t>
            </w:r>
          </w:p>
        </w:tc>
        <w:tc>
          <w:tcPr>
            <w:tcW w:w="1183" w:type="dxa"/>
            <w:tcBorders>
              <w:top w:val="none" w:sz="0" w:space="0" w:color="000000"/>
              <w:left w:val="none" w:sz="0" w:space="0" w:color="000000"/>
              <w:bottom w:val="none" w:sz="0" w:space="0" w:color="000000"/>
              <w:right w:val="none" w:sz="0" w:space="0" w:color="000000"/>
            </w:tcBorders>
            <w:vAlign w:val="center"/>
          </w:tcPr>
          <w:p w14:paraId="4883E5D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714E43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96.092</w:t>
            </w:r>
          </w:p>
        </w:tc>
        <w:tc>
          <w:tcPr>
            <w:tcW w:w="1158" w:type="dxa"/>
            <w:tcBorders>
              <w:top w:val="none" w:sz="0" w:space="0" w:color="000000"/>
              <w:left w:val="none" w:sz="0" w:space="0" w:color="000000"/>
              <w:bottom w:val="none" w:sz="0" w:space="0" w:color="000000"/>
              <w:right w:val="none" w:sz="0" w:space="0" w:color="000000"/>
            </w:tcBorders>
            <w:vAlign w:val="center"/>
          </w:tcPr>
          <w:p w14:paraId="4784B30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2387.060</w:t>
            </w:r>
          </w:p>
        </w:tc>
      </w:tr>
      <w:tr w:rsidR="00365058" w:rsidRPr="008E1CAD" w14:paraId="53B88983"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28E9A07" w14:textId="51986FCC"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DPd</w:t>
            </w:r>
          </w:p>
        </w:tc>
        <w:tc>
          <w:tcPr>
            <w:tcW w:w="1154" w:type="dxa"/>
            <w:tcBorders>
              <w:top w:val="none" w:sz="0" w:space="0" w:color="000000"/>
              <w:left w:val="none" w:sz="0" w:space="0" w:color="000000"/>
              <w:bottom w:val="none" w:sz="0" w:space="0" w:color="000000"/>
              <w:right w:val="none" w:sz="0" w:space="0" w:color="000000"/>
            </w:tcBorders>
            <w:vAlign w:val="center"/>
          </w:tcPr>
          <w:p w14:paraId="43B7F1D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0.089</w:t>
            </w:r>
          </w:p>
        </w:tc>
        <w:tc>
          <w:tcPr>
            <w:tcW w:w="1141" w:type="dxa"/>
            <w:tcBorders>
              <w:top w:val="none" w:sz="0" w:space="0" w:color="000000"/>
              <w:left w:val="none" w:sz="0" w:space="0" w:color="000000"/>
              <w:bottom w:val="none" w:sz="0" w:space="0" w:color="000000"/>
              <w:right w:val="none" w:sz="0" w:space="0" w:color="000000"/>
            </w:tcBorders>
            <w:vAlign w:val="center"/>
          </w:tcPr>
          <w:p w14:paraId="02C64D4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0.037</w:t>
            </w:r>
          </w:p>
        </w:tc>
        <w:tc>
          <w:tcPr>
            <w:tcW w:w="1140" w:type="dxa"/>
            <w:tcBorders>
              <w:top w:val="none" w:sz="0" w:space="0" w:color="000000"/>
              <w:left w:val="none" w:sz="0" w:space="0" w:color="000000"/>
              <w:bottom w:val="none" w:sz="0" w:space="0" w:color="000000"/>
              <w:right w:val="none" w:sz="0" w:space="0" w:color="000000"/>
            </w:tcBorders>
            <w:vAlign w:val="center"/>
          </w:tcPr>
          <w:p w14:paraId="0C906EA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0.200</w:t>
            </w:r>
          </w:p>
        </w:tc>
        <w:tc>
          <w:tcPr>
            <w:tcW w:w="1183" w:type="dxa"/>
            <w:tcBorders>
              <w:top w:val="none" w:sz="0" w:space="0" w:color="000000"/>
              <w:left w:val="none" w:sz="0" w:space="0" w:color="000000"/>
              <w:bottom w:val="none" w:sz="0" w:space="0" w:color="000000"/>
              <w:right w:val="none" w:sz="0" w:space="0" w:color="000000"/>
            </w:tcBorders>
            <w:vAlign w:val="center"/>
          </w:tcPr>
          <w:p w14:paraId="1BF18A7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C59852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90.974</w:t>
            </w:r>
          </w:p>
        </w:tc>
        <w:tc>
          <w:tcPr>
            <w:tcW w:w="1158" w:type="dxa"/>
            <w:tcBorders>
              <w:top w:val="none" w:sz="0" w:space="0" w:color="000000"/>
              <w:left w:val="none" w:sz="0" w:space="0" w:color="000000"/>
              <w:bottom w:val="none" w:sz="0" w:space="0" w:color="000000"/>
              <w:right w:val="none" w:sz="0" w:space="0" w:color="000000"/>
            </w:tcBorders>
            <w:vAlign w:val="center"/>
          </w:tcPr>
          <w:p w14:paraId="3156383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926.996</w:t>
            </w:r>
          </w:p>
        </w:tc>
      </w:tr>
      <w:tr w:rsidR="00365058" w:rsidRPr="008E1CAD" w14:paraId="2BAD2DD1"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98046C2" w14:textId="5602B2E4"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Dd</w:t>
            </w:r>
          </w:p>
        </w:tc>
        <w:tc>
          <w:tcPr>
            <w:tcW w:w="1154" w:type="dxa"/>
            <w:tcBorders>
              <w:top w:val="none" w:sz="0" w:space="0" w:color="000000"/>
              <w:left w:val="none" w:sz="0" w:space="0" w:color="000000"/>
              <w:bottom w:val="none" w:sz="0" w:space="0" w:color="000000"/>
              <w:right w:val="none" w:sz="0" w:space="0" w:color="000000"/>
            </w:tcBorders>
            <w:vAlign w:val="center"/>
          </w:tcPr>
          <w:p w14:paraId="792772A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0.293</w:t>
            </w:r>
          </w:p>
        </w:tc>
        <w:tc>
          <w:tcPr>
            <w:tcW w:w="1141" w:type="dxa"/>
            <w:tcBorders>
              <w:top w:val="none" w:sz="0" w:space="0" w:color="000000"/>
              <w:left w:val="none" w:sz="0" w:space="0" w:color="000000"/>
              <w:bottom w:val="none" w:sz="0" w:space="0" w:color="000000"/>
              <w:right w:val="none" w:sz="0" w:space="0" w:color="000000"/>
            </w:tcBorders>
            <w:vAlign w:val="center"/>
          </w:tcPr>
          <w:p w14:paraId="7966DD1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0.083</w:t>
            </w:r>
          </w:p>
        </w:tc>
        <w:tc>
          <w:tcPr>
            <w:tcW w:w="1140" w:type="dxa"/>
            <w:tcBorders>
              <w:top w:val="none" w:sz="0" w:space="0" w:color="000000"/>
              <w:left w:val="none" w:sz="0" w:space="0" w:color="000000"/>
              <w:bottom w:val="none" w:sz="0" w:space="0" w:color="000000"/>
              <w:right w:val="none" w:sz="0" w:space="0" w:color="000000"/>
            </w:tcBorders>
            <w:vAlign w:val="center"/>
          </w:tcPr>
          <w:p w14:paraId="7A3BB20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0.655</w:t>
            </w:r>
          </w:p>
        </w:tc>
        <w:tc>
          <w:tcPr>
            <w:tcW w:w="1183" w:type="dxa"/>
            <w:tcBorders>
              <w:top w:val="none" w:sz="0" w:space="0" w:color="000000"/>
              <w:left w:val="none" w:sz="0" w:space="0" w:color="000000"/>
              <w:bottom w:val="none" w:sz="0" w:space="0" w:color="000000"/>
              <w:right w:val="none" w:sz="0" w:space="0" w:color="000000"/>
            </w:tcBorders>
            <w:vAlign w:val="center"/>
          </w:tcPr>
          <w:p w14:paraId="5F28F90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1E6569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70.418</w:t>
            </w:r>
          </w:p>
        </w:tc>
        <w:tc>
          <w:tcPr>
            <w:tcW w:w="1158" w:type="dxa"/>
            <w:tcBorders>
              <w:top w:val="none" w:sz="0" w:space="0" w:color="000000"/>
              <w:left w:val="none" w:sz="0" w:space="0" w:color="000000"/>
              <w:bottom w:val="none" w:sz="0" w:space="0" w:color="000000"/>
              <w:right w:val="none" w:sz="0" w:space="0" w:color="000000"/>
            </w:tcBorders>
            <w:vAlign w:val="center"/>
          </w:tcPr>
          <w:p w14:paraId="3C94988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170.004</w:t>
            </w:r>
          </w:p>
        </w:tc>
      </w:tr>
      <w:tr w:rsidR="00365058" w:rsidRPr="008E1CAD" w14:paraId="1382DBD8"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2DC3878A" w14:textId="49B3C3C9"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 xml:space="preserve">Dara Monotherapy </w:t>
            </w:r>
          </w:p>
        </w:tc>
        <w:tc>
          <w:tcPr>
            <w:tcW w:w="1154" w:type="dxa"/>
            <w:tcBorders>
              <w:top w:val="none" w:sz="0" w:space="0" w:color="000000"/>
              <w:left w:val="none" w:sz="0" w:space="0" w:color="000000"/>
              <w:bottom w:val="none" w:sz="0" w:space="0" w:color="000000"/>
              <w:right w:val="none" w:sz="0" w:space="0" w:color="000000"/>
            </w:tcBorders>
            <w:vAlign w:val="center"/>
          </w:tcPr>
          <w:p w14:paraId="4133801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0.127</w:t>
            </w:r>
          </w:p>
        </w:tc>
        <w:tc>
          <w:tcPr>
            <w:tcW w:w="1141" w:type="dxa"/>
            <w:tcBorders>
              <w:top w:val="none" w:sz="0" w:space="0" w:color="000000"/>
              <w:left w:val="none" w:sz="0" w:space="0" w:color="000000"/>
              <w:bottom w:val="none" w:sz="0" w:space="0" w:color="000000"/>
              <w:right w:val="none" w:sz="0" w:space="0" w:color="000000"/>
            </w:tcBorders>
            <w:vAlign w:val="center"/>
          </w:tcPr>
          <w:p w14:paraId="6FC5CCB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0.060</w:t>
            </w:r>
          </w:p>
        </w:tc>
        <w:tc>
          <w:tcPr>
            <w:tcW w:w="1140" w:type="dxa"/>
            <w:tcBorders>
              <w:top w:val="none" w:sz="0" w:space="0" w:color="000000"/>
              <w:left w:val="none" w:sz="0" w:space="0" w:color="000000"/>
              <w:bottom w:val="none" w:sz="0" w:space="0" w:color="000000"/>
              <w:right w:val="none" w:sz="0" w:space="0" w:color="000000"/>
            </w:tcBorders>
            <w:vAlign w:val="center"/>
          </w:tcPr>
          <w:p w14:paraId="124B8AE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0.251</w:t>
            </w:r>
          </w:p>
        </w:tc>
        <w:tc>
          <w:tcPr>
            <w:tcW w:w="1183" w:type="dxa"/>
            <w:tcBorders>
              <w:top w:val="none" w:sz="0" w:space="0" w:color="000000"/>
              <w:left w:val="none" w:sz="0" w:space="0" w:color="000000"/>
              <w:bottom w:val="none" w:sz="0" w:space="0" w:color="000000"/>
              <w:right w:val="none" w:sz="0" w:space="0" w:color="000000"/>
            </w:tcBorders>
            <w:vAlign w:val="center"/>
          </w:tcPr>
          <w:p w14:paraId="771DAF7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8E059D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87.156</w:t>
            </w:r>
          </w:p>
        </w:tc>
        <w:tc>
          <w:tcPr>
            <w:tcW w:w="1158" w:type="dxa"/>
            <w:tcBorders>
              <w:top w:val="none" w:sz="0" w:space="0" w:color="000000"/>
              <w:left w:val="none" w:sz="0" w:space="0" w:color="000000"/>
              <w:bottom w:val="none" w:sz="0" w:space="0" w:color="000000"/>
              <w:right w:val="none" w:sz="0" w:space="0" w:color="000000"/>
            </w:tcBorders>
            <w:vAlign w:val="center"/>
          </w:tcPr>
          <w:p w14:paraId="61E46EF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598.175</w:t>
            </w:r>
          </w:p>
        </w:tc>
      </w:tr>
      <w:tr w:rsidR="00365058" w:rsidRPr="008E1CAD" w14:paraId="02FDF9B4"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E38B195" w14:textId="6ABDF339"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VPd</w:t>
            </w:r>
          </w:p>
        </w:tc>
        <w:tc>
          <w:tcPr>
            <w:tcW w:w="1154" w:type="dxa"/>
            <w:tcBorders>
              <w:top w:val="none" w:sz="0" w:space="0" w:color="000000"/>
              <w:left w:val="none" w:sz="0" w:space="0" w:color="000000"/>
              <w:bottom w:val="none" w:sz="0" w:space="0" w:color="000000"/>
              <w:right w:val="none" w:sz="0" w:space="0" w:color="000000"/>
            </w:tcBorders>
            <w:vAlign w:val="center"/>
          </w:tcPr>
          <w:p w14:paraId="000158E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0.068</w:t>
            </w:r>
          </w:p>
        </w:tc>
        <w:tc>
          <w:tcPr>
            <w:tcW w:w="1141" w:type="dxa"/>
            <w:tcBorders>
              <w:top w:val="none" w:sz="0" w:space="0" w:color="000000"/>
              <w:left w:val="none" w:sz="0" w:space="0" w:color="000000"/>
              <w:bottom w:val="none" w:sz="0" w:space="0" w:color="000000"/>
              <w:right w:val="none" w:sz="0" w:space="0" w:color="000000"/>
            </w:tcBorders>
            <w:vAlign w:val="center"/>
          </w:tcPr>
          <w:p w14:paraId="4EBB689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0.030</w:t>
            </w:r>
          </w:p>
        </w:tc>
        <w:tc>
          <w:tcPr>
            <w:tcW w:w="1140" w:type="dxa"/>
            <w:tcBorders>
              <w:top w:val="none" w:sz="0" w:space="0" w:color="000000"/>
              <w:left w:val="none" w:sz="0" w:space="0" w:color="000000"/>
              <w:bottom w:val="none" w:sz="0" w:space="0" w:color="000000"/>
              <w:right w:val="none" w:sz="0" w:space="0" w:color="000000"/>
            </w:tcBorders>
            <w:vAlign w:val="center"/>
          </w:tcPr>
          <w:p w14:paraId="06A8FD5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0.150</w:t>
            </w:r>
          </w:p>
        </w:tc>
        <w:tc>
          <w:tcPr>
            <w:tcW w:w="1183" w:type="dxa"/>
            <w:tcBorders>
              <w:top w:val="none" w:sz="0" w:space="0" w:color="000000"/>
              <w:left w:val="none" w:sz="0" w:space="0" w:color="000000"/>
              <w:bottom w:val="none" w:sz="0" w:space="0" w:color="000000"/>
              <w:right w:val="none" w:sz="0" w:space="0" w:color="000000"/>
            </w:tcBorders>
            <w:vAlign w:val="center"/>
          </w:tcPr>
          <w:p w14:paraId="1C0BE40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F387A5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93.104</w:t>
            </w:r>
          </w:p>
        </w:tc>
        <w:tc>
          <w:tcPr>
            <w:tcW w:w="1158" w:type="dxa"/>
            <w:tcBorders>
              <w:top w:val="none" w:sz="0" w:space="0" w:color="000000"/>
              <w:left w:val="none" w:sz="0" w:space="0" w:color="000000"/>
              <w:bottom w:val="none" w:sz="0" w:space="0" w:color="000000"/>
              <w:right w:val="none" w:sz="0" w:space="0" w:color="000000"/>
            </w:tcBorders>
            <w:vAlign w:val="center"/>
          </w:tcPr>
          <w:p w14:paraId="04BA87F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1270.581</w:t>
            </w:r>
          </w:p>
        </w:tc>
      </w:tr>
      <w:tr w:rsidR="00365058" w:rsidRPr="008E1CAD" w14:paraId="00F61699"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4611700" w14:textId="7BD05769"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VCd</w:t>
            </w:r>
          </w:p>
        </w:tc>
        <w:tc>
          <w:tcPr>
            <w:tcW w:w="1154" w:type="dxa"/>
            <w:tcBorders>
              <w:top w:val="none" w:sz="0" w:space="0" w:color="000000"/>
              <w:left w:val="none" w:sz="0" w:space="0" w:color="000000"/>
              <w:bottom w:val="none" w:sz="0" w:space="0" w:color="000000"/>
              <w:right w:val="none" w:sz="0" w:space="0" w:color="000000"/>
            </w:tcBorders>
            <w:vAlign w:val="center"/>
          </w:tcPr>
          <w:p w14:paraId="7BBC461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0.129</w:t>
            </w:r>
          </w:p>
        </w:tc>
        <w:tc>
          <w:tcPr>
            <w:tcW w:w="1141" w:type="dxa"/>
            <w:tcBorders>
              <w:top w:val="none" w:sz="0" w:space="0" w:color="000000"/>
              <w:left w:val="none" w:sz="0" w:space="0" w:color="000000"/>
              <w:bottom w:val="none" w:sz="0" w:space="0" w:color="000000"/>
              <w:right w:val="none" w:sz="0" w:space="0" w:color="000000"/>
            </w:tcBorders>
            <w:vAlign w:val="center"/>
          </w:tcPr>
          <w:p w14:paraId="00D9270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0.025</w:t>
            </w:r>
          </w:p>
        </w:tc>
        <w:tc>
          <w:tcPr>
            <w:tcW w:w="1140" w:type="dxa"/>
            <w:tcBorders>
              <w:top w:val="none" w:sz="0" w:space="0" w:color="000000"/>
              <w:left w:val="none" w:sz="0" w:space="0" w:color="000000"/>
              <w:bottom w:val="none" w:sz="0" w:space="0" w:color="000000"/>
              <w:right w:val="none" w:sz="0" w:space="0" w:color="000000"/>
            </w:tcBorders>
            <w:vAlign w:val="center"/>
          </w:tcPr>
          <w:p w14:paraId="25BB5FE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0.464</w:t>
            </w:r>
          </w:p>
        </w:tc>
        <w:tc>
          <w:tcPr>
            <w:tcW w:w="1183" w:type="dxa"/>
            <w:tcBorders>
              <w:top w:val="none" w:sz="0" w:space="0" w:color="000000"/>
              <w:left w:val="none" w:sz="0" w:space="0" w:color="000000"/>
              <w:bottom w:val="none" w:sz="0" w:space="0" w:color="000000"/>
              <w:right w:val="none" w:sz="0" w:space="0" w:color="000000"/>
            </w:tcBorders>
            <w:vAlign w:val="center"/>
          </w:tcPr>
          <w:p w14:paraId="205B26B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63EA15B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86.926</w:t>
            </w:r>
          </w:p>
        </w:tc>
        <w:tc>
          <w:tcPr>
            <w:tcW w:w="1158" w:type="dxa"/>
            <w:tcBorders>
              <w:top w:val="none" w:sz="0" w:space="0" w:color="000000"/>
              <w:left w:val="none" w:sz="0" w:space="0" w:color="000000"/>
              <w:bottom w:val="none" w:sz="0" w:space="0" w:color="000000"/>
              <w:right w:val="none" w:sz="0" w:space="0" w:color="000000"/>
            </w:tcBorders>
            <w:vAlign w:val="center"/>
          </w:tcPr>
          <w:p w14:paraId="2650B32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584.577</w:t>
            </w:r>
          </w:p>
        </w:tc>
      </w:tr>
      <w:tr w:rsidR="00365058" w:rsidRPr="008E1CAD" w14:paraId="4C00420F"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BCD91DE" w14:textId="2684370D"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Pd</w:t>
            </w:r>
          </w:p>
        </w:tc>
        <w:tc>
          <w:tcPr>
            <w:tcW w:w="1154" w:type="dxa"/>
            <w:tcBorders>
              <w:top w:val="none" w:sz="0" w:space="0" w:color="000000"/>
              <w:left w:val="none" w:sz="0" w:space="0" w:color="000000"/>
              <w:bottom w:val="none" w:sz="0" w:space="0" w:color="000000"/>
              <w:right w:val="none" w:sz="0" w:space="0" w:color="000000"/>
            </w:tcBorders>
            <w:vAlign w:val="center"/>
          </w:tcPr>
          <w:p w14:paraId="1861EAE3"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0.134</w:t>
            </w:r>
          </w:p>
        </w:tc>
        <w:tc>
          <w:tcPr>
            <w:tcW w:w="1141" w:type="dxa"/>
            <w:tcBorders>
              <w:top w:val="none" w:sz="0" w:space="0" w:color="000000"/>
              <w:left w:val="none" w:sz="0" w:space="0" w:color="000000"/>
              <w:bottom w:val="none" w:sz="0" w:space="0" w:color="000000"/>
              <w:right w:val="none" w:sz="0" w:space="0" w:color="000000"/>
            </w:tcBorders>
            <w:vAlign w:val="center"/>
          </w:tcPr>
          <w:p w14:paraId="7F7CC16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0.089</w:t>
            </w:r>
          </w:p>
        </w:tc>
        <w:tc>
          <w:tcPr>
            <w:tcW w:w="1140" w:type="dxa"/>
            <w:tcBorders>
              <w:top w:val="none" w:sz="0" w:space="0" w:color="000000"/>
              <w:left w:val="none" w:sz="0" w:space="0" w:color="000000"/>
              <w:bottom w:val="none" w:sz="0" w:space="0" w:color="000000"/>
              <w:right w:val="none" w:sz="0" w:space="0" w:color="000000"/>
            </w:tcBorders>
            <w:vAlign w:val="center"/>
          </w:tcPr>
          <w:p w14:paraId="7015974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0.197</w:t>
            </w:r>
          </w:p>
        </w:tc>
        <w:tc>
          <w:tcPr>
            <w:tcW w:w="1183" w:type="dxa"/>
            <w:tcBorders>
              <w:top w:val="none" w:sz="0" w:space="0" w:color="000000"/>
              <w:left w:val="none" w:sz="0" w:space="0" w:color="000000"/>
              <w:bottom w:val="none" w:sz="0" w:space="0" w:color="000000"/>
              <w:right w:val="none" w:sz="0" w:space="0" w:color="000000"/>
            </w:tcBorders>
            <w:vAlign w:val="center"/>
          </w:tcPr>
          <w:p w14:paraId="0759D55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C59396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86.461</w:t>
            </w:r>
          </w:p>
        </w:tc>
        <w:tc>
          <w:tcPr>
            <w:tcW w:w="1158" w:type="dxa"/>
            <w:tcBorders>
              <w:top w:val="none" w:sz="0" w:space="0" w:color="000000"/>
              <w:left w:val="none" w:sz="0" w:space="0" w:color="000000"/>
              <w:bottom w:val="none" w:sz="0" w:space="0" w:color="000000"/>
              <w:right w:val="none" w:sz="0" w:space="0" w:color="000000"/>
            </w:tcBorders>
            <w:vAlign w:val="center"/>
          </w:tcPr>
          <w:p w14:paraId="25FBE80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558.544</w:t>
            </w:r>
          </w:p>
        </w:tc>
      </w:tr>
      <w:tr w:rsidR="00365058" w:rsidRPr="008E1CAD" w14:paraId="12C2C1E9"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40F30F2B" w14:textId="0320FFEB"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KRd</w:t>
            </w:r>
          </w:p>
        </w:tc>
        <w:tc>
          <w:tcPr>
            <w:tcW w:w="1154" w:type="dxa"/>
            <w:tcBorders>
              <w:top w:val="none" w:sz="0" w:space="0" w:color="000000"/>
              <w:left w:val="none" w:sz="0" w:space="0" w:color="000000"/>
              <w:bottom w:val="none" w:sz="0" w:space="0" w:color="000000"/>
              <w:right w:val="none" w:sz="0" w:space="0" w:color="000000"/>
            </w:tcBorders>
            <w:vAlign w:val="center"/>
          </w:tcPr>
          <w:p w14:paraId="4799B6AB"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0.031</w:t>
            </w:r>
          </w:p>
        </w:tc>
        <w:tc>
          <w:tcPr>
            <w:tcW w:w="1141" w:type="dxa"/>
            <w:tcBorders>
              <w:top w:val="none" w:sz="0" w:space="0" w:color="000000"/>
              <w:left w:val="none" w:sz="0" w:space="0" w:color="000000"/>
              <w:bottom w:val="none" w:sz="0" w:space="0" w:color="000000"/>
              <w:right w:val="none" w:sz="0" w:space="0" w:color="000000"/>
            </w:tcBorders>
            <w:vAlign w:val="center"/>
          </w:tcPr>
          <w:p w14:paraId="6F0193F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0.018</w:t>
            </w:r>
          </w:p>
        </w:tc>
        <w:tc>
          <w:tcPr>
            <w:tcW w:w="1140" w:type="dxa"/>
            <w:tcBorders>
              <w:top w:val="none" w:sz="0" w:space="0" w:color="000000"/>
              <w:left w:val="none" w:sz="0" w:space="0" w:color="000000"/>
              <w:bottom w:val="none" w:sz="0" w:space="0" w:color="000000"/>
              <w:right w:val="none" w:sz="0" w:space="0" w:color="000000"/>
            </w:tcBorders>
            <w:vAlign w:val="center"/>
          </w:tcPr>
          <w:p w14:paraId="2A9730E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0.052</w:t>
            </w:r>
          </w:p>
        </w:tc>
        <w:tc>
          <w:tcPr>
            <w:tcW w:w="1183" w:type="dxa"/>
            <w:tcBorders>
              <w:top w:val="none" w:sz="0" w:space="0" w:color="000000"/>
              <w:left w:val="none" w:sz="0" w:space="0" w:color="000000"/>
              <w:bottom w:val="none" w:sz="0" w:space="0" w:color="000000"/>
              <w:right w:val="none" w:sz="0" w:space="0" w:color="000000"/>
            </w:tcBorders>
            <w:vAlign w:val="center"/>
          </w:tcPr>
          <w:p w14:paraId="053B8EE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58E5A88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96.857</w:t>
            </w:r>
          </w:p>
        </w:tc>
        <w:tc>
          <w:tcPr>
            <w:tcW w:w="1158" w:type="dxa"/>
            <w:tcBorders>
              <w:top w:val="none" w:sz="0" w:space="0" w:color="000000"/>
              <w:left w:val="none" w:sz="0" w:space="0" w:color="000000"/>
              <w:bottom w:val="none" w:sz="0" w:space="0" w:color="000000"/>
              <w:right w:val="none" w:sz="0" w:space="0" w:color="000000"/>
            </w:tcBorders>
            <w:vAlign w:val="center"/>
          </w:tcPr>
          <w:p w14:paraId="7D7F2BD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3016.111</w:t>
            </w:r>
          </w:p>
        </w:tc>
      </w:tr>
      <w:tr w:rsidR="00365058" w:rsidRPr="008E1CAD" w14:paraId="0604D503"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495CE9A" w14:textId="2854A857"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Kd</w:t>
            </w:r>
          </w:p>
        </w:tc>
        <w:tc>
          <w:tcPr>
            <w:tcW w:w="1154" w:type="dxa"/>
            <w:tcBorders>
              <w:top w:val="none" w:sz="0" w:space="0" w:color="000000"/>
              <w:left w:val="none" w:sz="0" w:space="0" w:color="000000"/>
              <w:bottom w:val="none" w:sz="0" w:space="0" w:color="000000"/>
              <w:right w:val="none" w:sz="0" w:space="0" w:color="000000"/>
            </w:tcBorders>
            <w:vAlign w:val="center"/>
          </w:tcPr>
          <w:p w14:paraId="1223C45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0.084</w:t>
            </w:r>
          </w:p>
        </w:tc>
        <w:tc>
          <w:tcPr>
            <w:tcW w:w="1141" w:type="dxa"/>
            <w:tcBorders>
              <w:top w:val="none" w:sz="0" w:space="0" w:color="000000"/>
              <w:left w:val="none" w:sz="0" w:space="0" w:color="000000"/>
              <w:bottom w:val="none" w:sz="0" w:space="0" w:color="000000"/>
              <w:right w:val="none" w:sz="0" w:space="0" w:color="000000"/>
            </w:tcBorders>
            <w:vAlign w:val="center"/>
          </w:tcPr>
          <w:p w14:paraId="012EE6C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0.051</w:t>
            </w:r>
          </w:p>
        </w:tc>
        <w:tc>
          <w:tcPr>
            <w:tcW w:w="1140" w:type="dxa"/>
            <w:tcBorders>
              <w:top w:val="none" w:sz="0" w:space="0" w:color="000000"/>
              <w:left w:val="none" w:sz="0" w:space="0" w:color="000000"/>
              <w:bottom w:val="none" w:sz="0" w:space="0" w:color="000000"/>
              <w:right w:val="none" w:sz="0" w:space="0" w:color="000000"/>
            </w:tcBorders>
            <w:vAlign w:val="center"/>
          </w:tcPr>
          <w:p w14:paraId="7F588FE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0.135</w:t>
            </w:r>
          </w:p>
        </w:tc>
        <w:tc>
          <w:tcPr>
            <w:tcW w:w="1183" w:type="dxa"/>
            <w:tcBorders>
              <w:top w:val="none" w:sz="0" w:space="0" w:color="000000"/>
              <w:left w:val="none" w:sz="0" w:space="0" w:color="000000"/>
              <w:bottom w:val="none" w:sz="0" w:space="0" w:color="000000"/>
              <w:right w:val="none" w:sz="0" w:space="0" w:color="000000"/>
            </w:tcBorders>
            <w:vAlign w:val="center"/>
          </w:tcPr>
          <w:p w14:paraId="039647F3"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752F3F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91.542</w:t>
            </w:r>
          </w:p>
        </w:tc>
        <w:tc>
          <w:tcPr>
            <w:tcW w:w="1158" w:type="dxa"/>
            <w:tcBorders>
              <w:top w:val="none" w:sz="0" w:space="0" w:color="000000"/>
              <w:left w:val="none" w:sz="0" w:space="0" w:color="000000"/>
              <w:bottom w:val="none" w:sz="0" w:space="0" w:color="000000"/>
              <w:right w:val="none" w:sz="0" w:space="0" w:color="000000"/>
            </w:tcBorders>
            <w:vAlign w:val="center"/>
          </w:tcPr>
          <w:p w14:paraId="0467326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1001.603</w:t>
            </w:r>
          </w:p>
        </w:tc>
      </w:tr>
      <w:tr w:rsidR="00365058" w:rsidRPr="008E1CAD" w14:paraId="55246246"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026C8DCA" w14:textId="4930DA34"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Rd</w:t>
            </w:r>
          </w:p>
        </w:tc>
        <w:tc>
          <w:tcPr>
            <w:tcW w:w="1154" w:type="dxa"/>
            <w:tcBorders>
              <w:top w:val="none" w:sz="0" w:space="0" w:color="000000"/>
              <w:left w:val="none" w:sz="0" w:space="0" w:color="000000"/>
              <w:bottom w:val="none" w:sz="0" w:space="0" w:color="000000"/>
              <w:right w:val="none" w:sz="0" w:space="0" w:color="000000"/>
            </w:tcBorders>
            <w:vAlign w:val="center"/>
          </w:tcPr>
          <w:p w14:paraId="19882C9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0.060</w:t>
            </w:r>
          </w:p>
        </w:tc>
        <w:tc>
          <w:tcPr>
            <w:tcW w:w="1141" w:type="dxa"/>
            <w:tcBorders>
              <w:top w:val="none" w:sz="0" w:space="0" w:color="000000"/>
              <w:left w:val="none" w:sz="0" w:space="0" w:color="000000"/>
              <w:bottom w:val="none" w:sz="0" w:space="0" w:color="000000"/>
              <w:right w:val="none" w:sz="0" w:space="0" w:color="000000"/>
            </w:tcBorders>
            <w:vAlign w:val="center"/>
          </w:tcPr>
          <w:p w14:paraId="18245FA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0.043</w:t>
            </w:r>
          </w:p>
        </w:tc>
        <w:tc>
          <w:tcPr>
            <w:tcW w:w="1140" w:type="dxa"/>
            <w:tcBorders>
              <w:top w:val="none" w:sz="0" w:space="0" w:color="000000"/>
              <w:left w:val="none" w:sz="0" w:space="0" w:color="000000"/>
              <w:bottom w:val="none" w:sz="0" w:space="0" w:color="000000"/>
              <w:right w:val="none" w:sz="0" w:space="0" w:color="000000"/>
            </w:tcBorders>
            <w:vAlign w:val="center"/>
          </w:tcPr>
          <w:p w14:paraId="4676414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0.083</w:t>
            </w:r>
          </w:p>
        </w:tc>
        <w:tc>
          <w:tcPr>
            <w:tcW w:w="1183" w:type="dxa"/>
            <w:tcBorders>
              <w:top w:val="none" w:sz="0" w:space="0" w:color="000000"/>
              <w:left w:val="none" w:sz="0" w:space="0" w:color="000000"/>
              <w:bottom w:val="none" w:sz="0" w:space="0" w:color="000000"/>
              <w:right w:val="none" w:sz="0" w:space="0" w:color="000000"/>
            </w:tcBorders>
            <w:vAlign w:val="center"/>
          </w:tcPr>
          <w:p w14:paraId="41B29F0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7C8A9FE8"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93.939</w:t>
            </w:r>
          </w:p>
        </w:tc>
        <w:tc>
          <w:tcPr>
            <w:tcW w:w="1158" w:type="dxa"/>
            <w:tcBorders>
              <w:top w:val="none" w:sz="0" w:space="0" w:color="000000"/>
              <w:left w:val="none" w:sz="0" w:space="0" w:color="000000"/>
              <w:bottom w:val="none" w:sz="0" w:space="0" w:color="000000"/>
              <w:right w:val="none" w:sz="0" w:space="0" w:color="000000"/>
            </w:tcBorders>
            <w:vAlign w:val="center"/>
          </w:tcPr>
          <w:p w14:paraId="6D25907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1471.395</w:t>
            </w:r>
          </w:p>
        </w:tc>
      </w:tr>
      <w:tr w:rsidR="00AA6134" w:rsidRPr="008E1CAD" w14:paraId="10780DE2"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tcPr>
          <w:p w14:paraId="1A036CF7" w14:textId="7D66E80C" w:rsidR="00AA6134" w:rsidRPr="008E1CAD" w:rsidRDefault="005B3087" w:rsidP="00AA6134">
            <w:pPr>
              <w:spacing w:before="40" w:after="40"/>
              <w:rPr>
                <w:rFonts w:ascii="Times New Roman" w:hAnsi="Times New Roman" w:cs="Times New Roman"/>
              </w:rPr>
            </w:pPr>
            <w:r w:rsidRPr="008E1CAD">
              <w:rPr>
                <w:rFonts w:ascii="Times New Roman" w:eastAsia="Times New Roman" w:hAnsi="Times New Roman" w:cs="Times New Roman"/>
                <w:i/>
                <w:sz w:val="18"/>
              </w:rPr>
              <w:t>Subsequent-line monthly post-progression mortality risk</w:t>
            </w:r>
          </w:p>
        </w:tc>
      </w:tr>
      <w:tr w:rsidR="00365058" w:rsidRPr="008E1CAD" w14:paraId="584C00C8"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8B95BE2" w14:textId="6E9F129C"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DRd</w:t>
            </w:r>
          </w:p>
        </w:tc>
        <w:tc>
          <w:tcPr>
            <w:tcW w:w="1154" w:type="dxa"/>
            <w:tcBorders>
              <w:top w:val="none" w:sz="0" w:space="0" w:color="000000"/>
              <w:left w:val="none" w:sz="0" w:space="0" w:color="000000"/>
              <w:bottom w:val="none" w:sz="0" w:space="0" w:color="000000"/>
              <w:right w:val="none" w:sz="0" w:space="0" w:color="000000"/>
            </w:tcBorders>
            <w:vAlign w:val="center"/>
          </w:tcPr>
          <w:p w14:paraId="2A06E39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0.025</w:t>
            </w:r>
          </w:p>
        </w:tc>
        <w:tc>
          <w:tcPr>
            <w:tcW w:w="1141" w:type="dxa"/>
            <w:tcBorders>
              <w:top w:val="none" w:sz="0" w:space="0" w:color="000000"/>
              <w:left w:val="none" w:sz="0" w:space="0" w:color="000000"/>
              <w:bottom w:val="none" w:sz="0" w:space="0" w:color="000000"/>
              <w:right w:val="none" w:sz="0" w:space="0" w:color="000000"/>
            </w:tcBorders>
            <w:vAlign w:val="center"/>
          </w:tcPr>
          <w:p w14:paraId="6554EBD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0.019</w:t>
            </w:r>
          </w:p>
        </w:tc>
        <w:tc>
          <w:tcPr>
            <w:tcW w:w="1140" w:type="dxa"/>
            <w:tcBorders>
              <w:top w:val="none" w:sz="0" w:space="0" w:color="000000"/>
              <w:left w:val="none" w:sz="0" w:space="0" w:color="000000"/>
              <w:bottom w:val="none" w:sz="0" w:space="0" w:color="000000"/>
              <w:right w:val="none" w:sz="0" w:space="0" w:color="000000"/>
            </w:tcBorders>
            <w:vAlign w:val="center"/>
          </w:tcPr>
          <w:p w14:paraId="05E7AF5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0.031</w:t>
            </w:r>
          </w:p>
        </w:tc>
        <w:tc>
          <w:tcPr>
            <w:tcW w:w="1183" w:type="dxa"/>
            <w:tcBorders>
              <w:top w:val="none" w:sz="0" w:space="0" w:color="000000"/>
              <w:left w:val="none" w:sz="0" w:space="0" w:color="000000"/>
              <w:bottom w:val="none" w:sz="0" w:space="0" w:color="000000"/>
              <w:right w:val="none" w:sz="0" w:space="0" w:color="000000"/>
            </w:tcBorders>
            <w:vAlign w:val="center"/>
          </w:tcPr>
          <w:p w14:paraId="243E13C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7C890F68"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97.487</w:t>
            </w:r>
          </w:p>
        </w:tc>
        <w:tc>
          <w:tcPr>
            <w:tcW w:w="1158" w:type="dxa"/>
            <w:tcBorders>
              <w:top w:val="none" w:sz="0" w:space="0" w:color="000000"/>
              <w:left w:val="none" w:sz="0" w:space="0" w:color="000000"/>
              <w:bottom w:val="none" w:sz="0" w:space="0" w:color="000000"/>
              <w:right w:val="none" w:sz="0" w:space="0" w:color="000000"/>
            </w:tcBorders>
            <w:vAlign w:val="center"/>
          </w:tcPr>
          <w:p w14:paraId="3120F46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3821.076</w:t>
            </w:r>
          </w:p>
        </w:tc>
      </w:tr>
      <w:tr w:rsidR="00365058" w:rsidRPr="008E1CAD" w14:paraId="35F9693F"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6C6E6CC" w14:textId="14E7A29F"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DPd</w:t>
            </w:r>
          </w:p>
        </w:tc>
        <w:tc>
          <w:tcPr>
            <w:tcW w:w="1154" w:type="dxa"/>
            <w:tcBorders>
              <w:top w:val="none" w:sz="0" w:space="0" w:color="000000"/>
              <w:left w:val="none" w:sz="0" w:space="0" w:color="000000"/>
              <w:bottom w:val="none" w:sz="0" w:space="0" w:color="000000"/>
              <w:right w:val="none" w:sz="0" w:space="0" w:color="000000"/>
            </w:tcBorders>
            <w:vAlign w:val="center"/>
          </w:tcPr>
          <w:p w14:paraId="479120C3"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0.019</w:t>
            </w:r>
          </w:p>
        </w:tc>
        <w:tc>
          <w:tcPr>
            <w:tcW w:w="1141" w:type="dxa"/>
            <w:tcBorders>
              <w:top w:val="none" w:sz="0" w:space="0" w:color="000000"/>
              <w:left w:val="none" w:sz="0" w:space="0" w:color="000000"/>
              <w:bottom w:val="none" w:sz="0" w:space="0" w:color="000000"/>
              <w:right w:val="none" w:sz="0" w:space="0" w:color="000000"/>
            </w:tcBorders>
            <w:vAlign w:val="center"/>
          </w:tcPr>
          <w:p w14:paraId="25A2AE0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0.002</w:t>
            </w:r>
          </w:p>
        </w:tc>
        <w:tc>
          <w:tcPr>
            <w:tcW w:w="1140" w:type="dxa"/>
            <w:tcBorders>
              <w:top w:val="none" w:sz="0" w:space="0" w:color="000000"/>
              <w:left w:val="none" w:sz="0" w:space="0" w:color="000000"/>
              <w:bottom w:val="none" w:sz="0" w:space="0" w:color="000000"/>
              <w:right w:val="none" w:sz="0" w:space="0" w:color="000000"/>
            </w:tcBorders>
            <w:vAlign w:val="center"/>
          </w:tcPr>
          <w:p w14:paraId="6CFB56E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0.185</w:t>
            </w:r>
          </w:p>
        </w:tc>
        <w:tc>
          <w:tcPr>
            <w:tcW w:w="1183" w:type="dxa"/>
            <w:tcBorders>
              <w:top w:val="none" w:sz="0" w:space="0" w:color="000000"/>
              <w:left w:val="none" w:sz="0" w:space="0" w:color="000000"/>
              <w:bottom w:val="none" w:sz="0" w:space="0" w:color="000000"/>
              <w:right w:val="none" w:sz="0" w:space="0" w:color="000000"/>
            </w:tcBorders>
            <w:vAlign w:val="center"/>
          </w:tcPr>
          <w:p w14:paraId="0141A84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EE13C8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0.145</w:t>
            </w:r>
          </w:p>
        </w:tc>
        <w:tc>
          <w:tcPr>
            <w:tcW w:w="1158" w:type="dxa"/>
            <w:tcBorders>
              <w:top w:val="none" w:sz="0" w:space="0" w:color="000000"/>
              <w:left w:val="none" w:sz="0" w:space="0" w:color="000000"/>
              <w:bottom w:val="none" w:sz="0" w:space="0" w:color="000000"/>
              <w:right w:val="none" w:sz="0" w:space="0" w:color="000000"/>
            </w:tcBorders>
            <w:vAlign w:val="center"/>
          </w:tcPr>
          <w:p w14:paraId="31DAE7B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7.429</w:t>
            </w:r>
          </w:p>
        </w:tc>
      </w:tr>
      <w:tr w:rsidR="00365058" w:rsidRPr="008E1CAD" w14:paraId="118681C4"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3C476E14" w14:textId="2F2AA3D5"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Dd</w:t>
            </w:r>
          </w:p>
        </w:tc>
        <w:tc>
          <w:tcPr>
            <w:tcW w:w="1154" w:type="dxa"/>
            <w:tcBorders>
              <w:top w:val="none" w:sz="0" w:space="0" w:color="000000"/>
              <w:left w:val="none" w:sz="0" w:space="0" w:color="000000"/>
              <w:bottom w:val="none" w:sz="0" w:space="0" w:color="000000"/>
              <w:right w:val="none" w:sz="0" w:space="0" w:color="000000"/>
            </w:tcBorders>
            <w:vAlign w:val="center"/>
          </w:tcPr>
          <w:p w14:paraId="1B56C71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0.195</w:t>
            </w:r>
          </w:p>
        </w:tc>
        <w:tc>
          <w:tcPr>
            <w:tcW w:w="1141" w:type="dxa"/>
            <w:tcBorders>
              <w:top w:val="none" w:sz="0" w:space="0" w:color="000000"/>
              <w:left w:val="none" w:sz="0" w:space="0" w:color="000000"/>
              <w:bottom w:val="none" w:sz="0" w:space="0" w:color="000000"/>
              <w:right w:val="none" w:sz="0" w:space="0" w:color="000000"/>
            </w:tcBorders>
            <w:vAlign w:val="center"/>
          </w:tcPr>
          <w:p w14:paraId="6B207E5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0.146</w:t>
            </w:r>
          </w:p>
        </w:tc>
        <w:tc>
          <w:tcPr>
            <w:tcW w:w="1140" w:type="dxa"/>
            <w:tcBorders>
              <w:top w:val="none" w:sz="0" w:space="0" w:color="000000"/>
              <w:left w:val="none" w:sz="0" w:space="0" w:color="000000"/>
              <w:bottom w:val="none" w:sz="0" w:space="0" w:color="000000"/>
              <w:right w:val="none" w:sz="0" w:space="0" w:color="000000"/>
            </w:tcBorders>
            <w:vAlign w:val="center"/>
          </w:tcPr>
          <w:p w14:paraId="589AD5C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0.243</w:t>
            </w:r>
          </w:p>
        </w:tc>
        <w:tc>
          <w:tcPr>
            <w:tcW w:w="1183" w:type="dxa"/>
            <w:tcBorders>
              <w:top w:val="none" w:sz="0" w:space="0" w:color="000000"/>
              <w:left w:val="none" w:sz="0" w:space="0" w:color="000000"/>
              <w:bottom w:val="none" w:sz="0" w:space="0" w:color="000000"/>
              <w:right w:val="none" w:sz="0" w:space="0" w:color="000000"/>
            </w:tcBorders>
            <w:vAlign w:val="center"/>
          </w:tcPr>
          <w:p w14:paraId="4707D99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332FC0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80.330</w:t>
            </w:r>
          </w:p>
        </w:tc>
        <w:tc>
          <w:tcPr>
            <w:tcW w:w="1158" w:type="dxa"/>
            <w:tcBorders>
              <w:top w:val="none" w:sz="0" w:space="0" w:color="000000"/>
              <w:left w:val="none" w:sz="0" w:space="0" w:color="000000"/>
              <w:bottom w:val="none" w:sz="0" w:space="0" w:color="000000"/>
              <w:right w:val="none" w:sz="0" w:space="0" w:color="000000"/>
            </w:tcBorders>
            <w:vAlign w:val="center"/>
          </w:tcPr>
          <w:p w14:paraId="25FA61CB"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332.136</w:t>
            </w:r>
          </w:p>
        </w:tc>
      </w:tr>
      <w:tr w:rsidR="00365058" w:rsidRPr="008E1CAD" w14:paraId="750F648E"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02CE796" w14:textId="3CB02150"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 xml:space="preserve">Dara Monotherapy </w:t>
            </w:r>
          </w:p>
        </w:tc>
        <w:tc>
          <w:tcPr>
            <w:tcW w:w="1154" w:type="dxa"/>
            <w:tcBorders>
              <w:top w:val="none" w:sz="0" w:space="0" w:color="000000"/>
              <w:left w:val="none" w:sz="0" w:space="0" w:color="000000"/>
              <w:bottom w:val="none" w:sz="0" w:space="0" w:color="000000"/>
              <w:right w:val="none" w:sz="0" w:space="0" w:color="000000"/>
            </w:tcBorders>
            <w:vAlign w:val="center"/>
          </w:tcPr>
          <w:p w14:paraId="05BD45DB"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0.045</w:t>
            </w:r>
          </w:p>
        </w:tc>
        <w:tc>
          <w:tcPr>
            <w:tcW w:w="1141" w:type="dxa"/>
            <w:tcBorders>
              <w:top w:val="none" w:sz="0" w:space="0" w:color="000000"/>
              <w:left w:val="none" w:sz="0" w:space="0" w:color="000000"/>
              <w:bottom w:val="none" w:sz="0" w:space="0" w:color="000000"/>
              <w:right w:val="none" w:sz="0" w:space="0" w:color="000000"/>
            </w:tcBorders>
            <w:vAlign w:val="center"/>
          </w:tcPr>
          <w:p w14:paraId="492D8673"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0.012</w:t>
            </w:r>
          </w:p>
        </w:tc>
        <w:tc>
          <w:tcPr>
            <w:tcW w:w="1140" w:type="dxa"/>
            <w:tcBorders>
              <w:top w:val="none" w:sz="0" w:space="0" w:color="000000"/>
              <w:left w:val="none" w:sz="0" w:space="0" w:color="000000"/>
              <w:bottom w:val="none" w:sz="0" w:space="0" w:color="000000"/>
              <w:right w:val="none" w:sz="0" w:space="0" w:color="000000"/>
            </w:tcBorders>
            <w:vAlign w:val="center"/>
          </w:tcPr>
          <w:p w14:paraId="728BC3D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0.152</w:t>
            </w:r>
          </w:p>
        </w:tc>
        <w:tc>
          <w:tcPr>
            <w:tcW w:w="1183" w:type="dxa"/>
            <w:tcBorders>
              <w:top w:val="none" w:sz="0" w:space="0" w:color="000000"/>
              <w:left w:val="none" w:sz="0" w:space="0" w:color="000000"/>
              <w:bottom w:val="none" w:sz="0" w:space="0" w:color="000000"/>
              <w:right w:val="none" w:sz="0" w:space="0" w:color="000000"/>
            </w:tcBorders>
            <w:vAlign w:val="center"/>
          </w:tcPr>
          <w:p w14:paraId="76E4F5A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48B207A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1.475</w:t>
            </w:r>
          </w:p>
        </w:tc>
        <w:tc>
          <w:tcPr>
            <w:tcW w:w="1158" w:type="dxa"/>
            <w:tcBorders>
              <w:top w:val="none" w:sz="0" w:space="0" w:color="000000"/>
              <w:left w:val="none" w:sz="0" w:space="0" w:color="000000"/>
              <w:bottom w:val="none" w:sz="0" w:space="0" w:color="000000"/>
              <w:right w:val="none" w:sz="0" w:space="0" w:color="000000"/>
            </w:tcBorders>
            <w:vAlign w:val="center"/>
          </w:tcPr>
          <w:p w14:paraId="70DD4E3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31.272</w:t>
            </w:r>
          </w:p>
        </w:tc>
      </w:tr>
      <w:tr w:rsidR="00365058" w:rsidRPr="008E1CAD" w14:paraId="401768A3"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A919917" w14:textId="7089179F"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VPd</w:t>
            </w:r>
          </w:p>
        </w:tc>
        <w:tc>
          <w:tcPr>
            <w:tcW w:w="1154" w:type="dxa"/>
            <w:tcBorders>
              <w:top w:val="none" w:sz="0" w:space="0" w:color="000000"/>
              <w:left w:val="none" w:sz="0" w:space="0" w:color="000000"/>
              <w:bottom w:val="none" w:sz="0" w:space="0" w:color="000000"/>
              <w:right w:val="none" w:sz="0" w:space="0" w:color="000000"/>
            </w:tcBorders>
            <w:vAlign w:val="center"/>
          </w:tcPr>
          <w:p w14:paraId="6EAAEAC8"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0.105</w:t>
            </w:r>
          </w:p>
        </w:tc>
        <w:tc>
          <w:tcPr>
            <w:tcW w:w="1141" w:type="dxa"/>
            <w:tcBorders>
              <w:top w:val="none" w:sz="0" w:space="0" w:color="000000"/>
              <w:left w:val="none" w:sz="0" w:space="0" w:color="000000"/>
              <w:bottom w:val="none" w:sz="0" w:space="0" w:color="000000"/>
              <w:right w:val="none" w:sz="0" w:space="0" w:color="000000"/>
            </w:tcBorders>
            <w:vAlign w:val="center"/>
          </w:tcPr>
          <w:p w14:paraId="2DFDFC4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0.054</w:t>
            </w:r>
          </w:p>
        </w:tc>
        <w:tc>
          <w:tcPr>
            <w:tcW w:w="1140" w:type="dxa"/>
            <w:tcBorders>
              <w:top w:val="none" w:sz="0" w:space="0" w:color="000000"/>
              <w:left w:val="none" w:sz="0" w:space="0" w:color="000000"/>
              <w:bottom w:val="none" w:sz="0" w:space="0" w:color="000000"/>
              <w:right w:val="none" w:sz="0" w:space="0" w:color="000000"/>
            </w:tcBorders>
            <w:vAlign w:val="center"/>
          </w:tcPr>
          <w:p w14:paraId="03C4394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0.195</w:t>
            </w:r>
          </w:p>
        </w:tc>
        <w:tc>
          <w:tcPr>
            <w:tcW w:w="1183" w:type="dxa"/>
            <w:tcBorders>
              <w:top w:val="none" w:sz="0" w:space="0" w:color="000000"/>
              <w:left w:val="none" w:sz="0" w:space="0" w:color="000000"/>
              <w:bottom w:val="none" w:sz="0" w:space="0" w:color="000000"/>
              <w:right w:val="none" w:sz="0" w:space="0" w:color="000000"/>
            </w:tcBorders>
            <w:vAlign w:val="center"/>
          </w:tcPr>
          <w:p w14:paraId="19D68B46"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56A9C988"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7.506</w:t>
            </w:r>
          </w:p>
        </w:tc>
        <w:tc>
          <w:tcPr>
            <w:tcW w:w="1158" w:type="dxa"/>
            <w:tcBorders>
              <w:top w:val="none" w:sz="0" w:space="0" w:color="000000"/>
              <w:left w:val="none" w:sz="0" w:space="0" w:color="000000"/>
              <w:bottom w:val="none" w:sz="0" w:space="0" w:color="000000"/>
              <w:right w:val="none" w:sz="0" w:space="0" w:color="000000"/>
            </w:tcBorders>
            <w:vAlign w:val="center"/>
          </w:tcPr>
          <w:p w14:paraId="4AA53CB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64.102</w:t>
            </w:r>
          </w:p>
        </w:tc>
      </w:tr>
      <w:tr w:rsidR="00365058" w:rsidRPr="008E1CAD" w14:paraId="228E9118"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D16107A" w14:textId="28A25591"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VCd</w:t>
            </w:r>
          </w:p>
        </w:tc>
        <w:tc>
          <w:tcPr>
            <w:tcW w:w="1154" w:type="dxa"/>
            <w:tcBorders>
              <w:top w:val="none" w:sz="0" w:space="0" w:color="000000"/>
              <w:left w:val="none" w:sz="0" w:space="0" w:color="000000"/>
              <w:bottom w:val="none" w:sz="0" w:space="0" w:color="000000"/>
              <w:right w:val="none" w:sz="0" w:space="0" w:color="000000"/>
            </w:tcBorders>
            <w:vAlign w:val="center"/>
          </w:tcPr>
          <w:p w14:paraId="3282FB4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0.028</w:t>
            </w:r>
          </w:p>
        </w:tc>
        <w:tc>
          <w:tcPr>
            <w:tcW w:w="1141" w:type="dxa"/>
            <w:tcBorders>
              <w:top w:val="none" w:sz="0" w:space="0" w:color="000000"/>
              <w:left w:val="none" w:sz="0" w:space="0" w:color="000000"/>
              <w:bottom w:val="none" w:sz="0" w:space="0" w:color="000000"/>
              <w:right w:val="none" w:sz="0" w:space="0" w:color="000000"/>
            </w:tcBorders>
            <w:vAlign w:val="center"/>
          </w:tcPr>
          <w:p w14:paraId="65EF90C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0.001</w:t>
            </w:r>
          </w:p>
        </w:tc>
        <w:tc>
          <w:tcPr>
            <w:tcW w:w="1140" w:type="dxa"/>
            <w:tcBorders>
              <w:top w:val="none" w:sz="0" w:space="0" w:color="000000"/>
              <w:left w:val="none" w:sz="0" w:space="0" w:color="000000"/>
              <w:bottom w:val="none" w:sz="0" w:space="0" w:color="000000"/>
              <w:right w:val="none" w:sz="0" w:space="0" w:color="000000"/>
            </w:tcBorders>
            <w:vAlign w:val="center"/>
          </w:tcPr>
          <w:p w14:paraId="32926ABA"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0.506</w:t>
            </w:r>
          </w:p>
        </w:tc>
        <w:tc>
          <w:tcPr>
            <w:tcW w:w="1183" w:type="dxa"/>
            <w:tcBorders>
              <w:top w:val="none" w:sz="0" w:space="0" w:color="000000"/>
              <w:left w:val="none" w:sz="0" w:space="0" w:color="000000"/>
              <w:bottom w:val="none" w:sz="0" w:space="0" w:color="000000"/>
              <w:right w:val="none" w:sz="0" w:space="0" w:color="000000"/>
            </w:tcBorders>
            <w:vAlign w:val="center"/>
          </w:tcPr>
          <w:p w14:paraId="3615372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66F1243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0.019</w:t>
            </w:r>
          </w:p>
        </w:tc>
        <w:tc>
          <w:tcPr>
            <w:tcW w:w="1158" w:type="dxa"/>
            <w:tcBorders>
              <w:top w:val="none" w:sz="0" w:space="0" w:color="000000"/>
              <w:left w:val="none" w:sz="0" w:space="0" w:color="000000"/>
              <w:bottom w:val="none" w:sz="0" w:space="0" w:color="000000"/>
              <w:right w:val="none" w:sz="0" w:space="0" w:color="000000"/>
            </w:tcBorders>
            <w:vAlign w:val="center"/>
          </w:tcPr>
          <w:p w14:paraId="4C06238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0.648</w:t>
            </w:r>
          </w:p>
        </w:tc>
      </w:tr>
      <w:tr w:rsidR="00365058" w:rsidRPr="008E1CAD" w14:paraId="07EB4972"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52611A63" w14:textId="41461880"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Pd</w:t>
            </w:r>
          </w:p>
        </w:tc>
        <w:tc>
          <w:tcPr>
            <w:tcW w:w="1154" w:type="dxa"/>
            <w:tcBorders>
              <w:top w:val="none" w:sz="0" w:space="0" w:color="000000"/>
              <w:left w:val="none" w:sz="0" w:space="0" w:color="000000"/>
              <w:bottom w:val="none" w:sz="0" w:space="0" w:color="000000"/>
              <w:right w:val="none" w:sz="0" w:space="0" w:color="000000"/>
            </w:tcBorders>
            <w:vAlign w:val="center"/>
          </w:tcPr>
          <w:p w14:paraId="723E2B8B"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0.124</w:t>
            </w:r>
          </w:p>
        </w:tc>
        <w:tc>
          <w:tcPr>
            <w:tcW w:w="1141" w:type="dxa"/>
            <w:tcBorders>
              <w:top w:val="none" w:sz="0" w:space="0" w:color="000000"/>
              <w:left w:val="none" w:sz="0" w:space="0" w:color="000000"/>
              <w:bottom w:val="none" w:sz="0" w:space="0" w:color="000000"/>
              <w:right w:val="none" w:sz="0" w:space="0" w:color="000000"/>
            </w:tcBorders>
            <w:vAlign w:val="center"/>
          </w:tcPr>
          <w:p w14:paraId="56195CB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0.074</w:t>
            </w:r>
          </w:p>
        </w:tc>
        <w:tc>
          <w:tcPr>
            <w:tcW w:w="1140" w:type="dxa"/>
            <w:tcBorders>
              <w:top w:val="none" w:sz="0" w:space="0" w:color="000000"/>
              <w:left w:val="none" w:sz="0" w:space="0" w:color="000000"/>
              <w:bottom w:val="none" w:sz="0" w:space="0" w:color="000000"/>
              <w:right w:val="none" w:sz="0" w:space="0" w:color="000000"/>
            </w:tcBorders>
            <w:vAlign w:val="center"/>
          </w:tcPr>
          <w:p w14:paraId="2605F36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0.201</w:t>
            </w:r>
          </w:p>
        </w:tc>
        <w:tc>
          <w:tcPr>
            <w:tcW w:w="1183" w:type="dxa"/>
            <w:tcBorders>
              <w:top w:val="none" w:sz="0" w:space="0" w:color="000000"/>
              <w:left w:val="none" w:sz="0" w:space="0" w:color="000000"/>
              <w:bottom w:val="none" w:sz="0" w:space="0" w:color="000000"/>
              <w:right w:val="none" w:sz="0" w:space="0" w:color="000000"/>
            </w:tcBorders>
            <w:vAlign w:val="center"/>
          </w:tcPr>
          <w:p w14:paraId="4D578EF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31527D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12.807</w:t>
            </w:r>
          </w:p>
        </w:tc>
        <w:tc>
          <w:tcPr>
            <w:tcW w:w="1158" w:type="dxa"/>
            <w:tcBorders>
              <w:top w:val="none" w:sz="0" w:space="0" w:color="000000"/>
              <w:left w:val="none" w:sz="0" w:space="0" w:color="000000"/>
              <w:bottom w:val="none" w:sz="0" w:space="0" w:color="000000"/>
              <w:right w:val="none" w:sz="0" w:space="0" w:color="000000"/>
            </w:tcBorders>
            <w:vAlign w:val="center"/>
          </w:tcPr>
          <w:p w14:paraId="4DA6828D"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90.368</w:t>
            </w:r>
          </w:p>
        </w:tc>
      </w:tr>
      <w:tr w:rsidR="00365058" w:rsidRPr="008E1CAD" w14:paraId="7F90802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86D554E" w14:textId="1D8E2836"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KRd</w:t>
            </w:r>
          </w:p>
        </w:tc>
        <w:tc>
          <w:tcPr>
            <w:tcW w:w="1154" w:type="dxa"/>
            <w:tcBorders>
              <w:top w:val="none" w:sz="0" w:space="0" w:color="000000"/>
              <w:left w:val="none" w:sz="0" w:space="0" w:color="000000"/>
              <w:bottom w:val="none" w:sz="0" w:space="0" w:color="000000"/>
              <w:right w:val="none" w:sz="0" w:space="0" w:color="000000"/>
            </w:tcBorders>
            <w:vAlign w:val="center"/>
          </w:tcPr>
          <w:p w14:paraId="456E88B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0.052</w:t>
            </w:r>
          </w:p>
        </w:tc>
        <w:tc>
          <w:tcPr>
            <w:tcW w:w="1141" w:type="dxa"/>
            <w:tcBorders>
              <w:top w:val="none" w:sz="0" w:space="0" w:color="000000"/>
              <w:left w:val="none" w:sz="0" w:space="0" w:color="000000"/>
              <w:bottom w:val="none" w:sz="0" w:space="0" w:color="000000"/>
              <w:right w:val="none" w:sz="0" w:space="0" w:color="000000"/>
            </w:tcBorders>
            <w:vAlign w:val="center"/>
          </w:tcPr>
          <w:p w14:paraId="3C7EFC1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0.016</w:t>
            </w:r>
          </w:p>
        </w:tc>
        <w:tc>
          <w:tcPr>
            <w:tcW w:w="1140" w:type="dxa"/>
            <w:tcBorders>
              <w:top w:val="none" w:sz="0" w:space="0" w:color="000000"/>
              <w:left w:val="none" w:sz="0" w:space="0" w:color="000000"/>
              <w:bottom w:val="none" w:sz="0" w:space="0" w:color="000000"/>
              <w:right w:val="none" w:sz="0" w:space="0" w:color="000000"/>
            </w:tcBorders>
            <w:vAlign w:val="center"/>
          </w:tcPr>
          <w:p w14:paraId="6E98E520"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0.152</w:t>
            </w:r>
          </w:p>
        </w:tc>
        <w:tc>
          <w:tcPr>
            <w:tcW w:w="1183" w:type="dxa"/>
            <w:tcBorders>
              <w:top w:val="none" w:sz="0" w:space="0" w:color="000000"/>
              <w:left w:val="none" w:sz="0" w:space="0" w:color="000000"/>
              <w:bottom w:val="none" w:sz="0" w:space="0" w:color="000000"/>
              <w:right w:val="none" w:sz="0" w:space="0" w:color="000000"/>
            </w:tcBorders>
            <w:vAlign w:val="center"/>
          </w:tcPr>
          <w:p w14:paraId="7A9AEB5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44460F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2.046</w:t>
            </w:r>
          </w:p>
        </w:tc>
        <w:tc>
          <w:tcPr>
            <w:tcW w:w="1158" w:type="dxa"/>
            <w:tcBorders>
              <w:top w:val="none" w:sz="0" w:space="0" w:color="000000"/>
              <w:left w:val="none" w:sz="0" w:space="0" w:color="000000"/>
              <w:bottom w:val="none" w:sz="0" w:space="0" w:color="000000"/>
              <w:right w:val="none" w:sz="0" w:space="0" w:color="000000"/>
            </w:tcBorders>
            <w:vAlign w:val="center"/>
          </w:tcPr>
          <w:p w14:paraId="6E48F29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37.566</w:t>
            </w:r>
          </w:p>
        </w:tc>
      </w:tr>
      <w:tr w:rsidR="00365058" w:rsidRPr="008E1CAD" w14:paraId="4A0D2F8E"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6591093E" w14:textId="0C18A107"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Kd</w:t>
            </w:r>
          </w:p>
        </w:tc>
        <w:tc>
          <w:tcPr>
            <w:tcW w:w="1154" w:type="dxa"/>
            <w:tcBorders>
              <w:top w:val="none" w:sz="0" w:space="0" w:color="000000"/>
              <w:left w:val="none" w:sz="0" w:space="0" w:color="000000"/>
              <w:bottom w:val="none" w:sz="0" w:space="0" w:color="000000"/>
              <w:right w:val="none" w:sz="0" w:space="0" w:color="000000"/>
            </w:tcBorders>
            <w:vAlign w:val="center"/>
          </w:tcPr>
          <w:p w14:paraId="081C8ED5"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0.043</w:t>
            </w:r>
          </w:p>
        </w:tc>
        <w:tc>
          <w:tcPr>
            <w:tcW w:w="1141" w:type="dxa"/>
            <w:tcBorders>
              <w:top w:val="none" w:sz="0" w:space="0" w:color="000000"/>
              <w:left w:val="none" w:sz="0" w:space="0" w:color="000000"/>
              <w:bottom w:val="none" w:sz="0" w:space="0" w:color="000000"/>
              <w:right w:val="none" w:sz="0" w:space="0" w:color="000000"/>
            </w:tcBorders>
            <w:vAlign w:val="center"/>
          </w:tcPr>
          <w:p w14:paraId="4AA025CB"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0.016</w:t>
            </w:r>
          </w:p>
        </w:tc>
        <w:tc>
          <w:tcPr>
            <w:tcW w:w="1140" w:type="dxa"/>
            <w:tcBorders>
              <w:top w:val="none" w:sz="0" w:space="0" w:color="000000"/>
              <w:left w:val="none" w:sz="0" w:space="0" w:color="000000"/>
              <w:bottom w:val="none" w:sz="0" w:space="0" w:color="000000"/>
              <w:right w:val="none" w:sz="0" w:space="0" w:color="000000"/>
            </w:tcBorders>
            <w:vAlign w:val="center"/>
          </w:tcPr>
          <w:p w14:paraId="7CD6C139"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0.113</w:t>
            </w:r>
          </w:p>
        </w:tc>
        <w:tc>
          <w:tcPr>
            <w:tcW w:w="1183" w:type="dxa"/>
            <w:tcBorders>
              <w:top w:val="none" w:sz="0" w:space="0" w:color="000000"/>
              <w:left w:val="none" w:sz="0" w:space="0" w:color="000000"/>
              <w:bottom w:val="none" w:sz="0" w:space="0" w:color="000000"/>
              <w:right w:val="none" w:sz="0" w:space="0" w:color="000000"/>
            </w:tcBorders>
            <w:vAlign w:val="center"/>
          </w:tcPr>
          <w:p w14:paraId="55BF97CC"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22F631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2.833</w:t>
            </w:r>
          </w:p>
        </w:tc>
        <w:tc>
          <w:tcPr>
            <w:tcW w:w="1158" w:type="dxa"/>
            <w:tcBorders>
              <w:top w:val="none" w:sz="0" w:space="0" w:color="000000"/>
              <w:left w:val="none" w:sz="0" w:space="0" w:color="000000"/>
              <w:bottom w:val="none" w:sz="0" w:space="0" w:color="000000"/>
              <w:right w:val="none" w:sz="0" w:space="0" w:color="000000"/>
            </w:tcBorders>
            <w:vAlign w:val="center"/>
          </w:tcPr>
          <w:p w14:paraId="5EFA7952"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62.737</w:t>
            </w:r>
          </w:p>
        </w:tc>
      </w:tr>
      <w:tr w:rsidR="00365058" w:rsidRPr="008E1CAD" w14:paraId="0A19E218"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6E64295" w14:textId="45ABC6E7" w:rsidR="00365058" w:rsidRPr="008E1CAD" w:rsidRDefault="00365058" w:rsidP="00365058">
            <w:pPr>
              <w:spacing w:before="40" w:after="40"/>
              <w:rPr>
                <w:rFonts w:ascii="Times New Roman" w:hAnsi="Times New Roman" w:cs="Times New Roman"/>
              </w:rPr>
            </w:pPr>
            <w:r w:rsidRPr="008E1CAD">
              <w:rPr>
                <w:rFonts w:ascii="Times New Roman" w:eastAsia="Times New Roman" w:hAnsi="Times New Roman" w:cs="Times New Roman"/>
                <w:sz w:val="18"/>
              </w:rPr>
              <w:t>Rd</w:t>
            </w:r>
          </w:p>
        </w:tc>
        <w:tc>
          <w:tcPr>
            <w:tcW w:w="1154" w:type="dxa"/>
            <w:tcBorders>
              <w:top w:val="none" w:sz="0" w:space="0" w:color="000000"/>
              <w:left w:val="none" w:sz="0" w:space="0" w:color="000000"/>
              <w:bottom w:val="none" w:sz="0" w:space="0" w:color="000000"/>
              <w:right w:val="none" w:sz="0" w:space="0" w:color="000000"/>
            </w:tcBorders>
            <w:vAlign w:val="center"/>
          </w:tcPr>
          <w:p w14:paraId="7A9552D3"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0.048</w:t>
            </w:r>
          </w:p>
        </w:tc>
        <w:tc>
          <w:tcPr>
            <w:tcW w:w="1141" w:type="dxa"/>
            <w:tcBorders>
              <w:top w:val="none" w:sz="0" w:space="0" w:color="000000"/>
              <w:left w:val="none" w:sz="0" w:space="0" w:color="000000"/>
              <w:bottom w:val="none" w:sz="0" w:space="0" w:color="000000"/>
              <w:right w:val="none" w:sz="0" w:space="0" w:color="000000"/>
            </w:tcBorders>
            <w:vAlign w:val="center"/>
          </w:tcPr>
          <w:p w14:paraId="4D975CDE"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0.033</w:t>
            </w:r>
          </w:p>
        </w:tc>
        <w:tc>
          <w:tcPr>
            <w:tcW w:w="1140" w:type="dxa"/>
            <w:tcBorders>
              <w:top w:val="none" w:sz="0" w:space="0" w:color="000000"/>
              <w:left w:val="none" w:sz="0" w:space="0" w:color="000000"/>
              <w:bottom w:val="none" w:sz="0" w:space="0" w:color="000000"/>
              <w:right w:val="none" w:sz="0" w:space="0" w:color="000000"/>
            </w:tcBorders>
            <w:vAlign w:val="center"/>
          </w:tcPr>
          <w:p w14:paraId="42D27FFF"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0.070</w:t>
            </w:r>
          </w:p>
        </w:tc>
        <w:tc>
          <w:tcPr>
            <w:tcW w:w="1183" w:type="dxa"/>
            <w:tcBorders>
              <w:top w:val="none" w:sz="0" w:space="0" w:color="000000"/>
              <w:left w:val="none" w:sz="0" w:space="0" w:color="000000"/>
              <w:bottom w:val="none" w:sz="0" w:space="0" w:color="000000"/>
              <w:right w:val="none" w:sz="0" w:space="0" w:color="000000"/>
            </w:tcBorders>
            <w:vAlign w:val="center"/>
          </w:tcPr>
          <w:p w14:paraId="20854131"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3322A954"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25.477</w:t>
            </w:r>
          </w:p>
        </w:tc>
        <w:tc>
          <w:tcPr>
            <w:tcW w:w="1158" w:type="dxa"/>
            <w:tcBorders>
              <w:top w:val="none" w:sz="0" w:space="0" w:color="000000"/>
              <w:left w:val="none" w:sz="0" w:space="0" w:color="000000"/>
              <w:bottom w:val="none" w:sz="0" w:space="0" w:color="000000"/>
              <w:right w:val="none" w:sz="0" w:space="0" w:color="000000"/>
            </w:tcBorders>
            <w:vAlign w:val="center"/>
          </w:tcPr>
          <w:p w14:paraId="53C6BBA7" w14:textId="77777777" w:rsidR="00365058" w:rsidRPr="008E1CAD" w:rsidRDefault="00365058"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501.942</w:t>
            </w:r>
          </w:p>
        </w:tc>
      </w:tr>
      <w:tr w:rsidR="008E6781" w:rsidRPr="008E1CAD" w14:paraId="3D717471" w14:textId="77777777" w:rsidTr="00AA719D">
        <w:trPr>
          <w:jc w:val="center"/>
        </w:trPr>
        <w:tc>
          <w:tcPr>
            <w:tcW w:w="8300" w:type="dxa"/>
            <w:gridSpan w:val="7"/>
            <w:tcBorders>
              <w:top w:val="none" w:sz="0" w:space="0" w:color="000000"/>
              <w:left w:val="none" w:sz="0" w:space="0" w:color="000000"/>
              <w:bottom w:val="none" w:sz="0" w:space="0" w:color="000000"/>
              <w:right w:val="none" w:sz="0" w:space="0" w:color="000000"/>
            </w:tcBorders>
            <w:vAlign w:val="center"/>
          </w:tcPr>
          <w:p w14:paraId="1FEF6138" w14:textId="1A6473DB" w:rsidR="008E6781" w:rsidRPr="008E1CAD" w:rsidRDefault="00AA6134" w:rsidP="008E6781">
            <w:pPr>
              <w:spacing w:before="40" w:after="40"/>
              <w:jc w:val="both"/>
              <w:rPr>
                <w:rFonts w:ascii="Times New Roman" w:hAnsi="Times New Roman" w:cs="Times New Roman"/>
              </w:rPr>
            </w:pPr>
            <w:r w:rsidRPr="008E1CAD">
              <w:rPr>
                <w:rFonts w:ascii="Times New Roman" w:eastAsia="Times New Roman" w:hAnsi="Times New Roman" w:cs="Times New Roman"/>
                <w:b/>
                <w:sz w:val="18"/>
              </w:rPr>
              <w:t>HRQoL</w:t>
            </w:r>
            <w:r w:rsidR="008E6781" w:rsidRPr="008E1CAD">
              <w:rPr>
                <w:rFonts w:ascii="Times New Roman" w:eastAsia="Times New Roman" w:hAnsi="Times New Roman" w:cs="Times New Roman"/>
                <w:b/>
                <w:sz w:val="18"/>
              </w:rPr>
              <w:t xml:space="preserve"> </w:t>
            </w:r>
            <w:r w:rsidRPr="008E1CAD">
              <w:rPr>
                <w:rFonts w:ascii="Times New Roman" w:eastAsia="Times New Roman" w:hAnsi="Times New Roman" w:cs="Times New Roman"/>
                <w:b/>
                <w:sz w:val="18"/>
              </w:rPr>
              <w:t>(utility r</w:t>
            </w:r>
            <w:r w:rsidR="008E6781" w:rsidRPr="008E1CAD">
              <w:rPr>
                <w:rFonts w:ascii="Times New Roman" w:eastAsia="Times New Roman" w:hAnsi="Times New Roman" w:cs="Times New Roman"/>
                <w:b/>
                <w:sz w:val="18"/>
              </w:rPr>
              <w:t>atios</w:t>
            </w:r>
            <w:r w:rsidRPr="008E1CAD">
              <w:rPr>
                <w:rFonts w:ascii="Times New Roman" w:eastAsia="Times New Roman" w:hAnsi="Times New Roman" w:cs="Times New Roman"/>
                <w:b/>
                <w:sz w:val="18"/>
              </w:rPr>
              <w:t>)</w:t>
            </w:r>
          </w:p>
        </w:tc>
      </w:tr>
      <w:tr w:rsidR="00907E93" w:rsidRPr="008E1CAD" w14:paraId="46071B2E"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448CD763" w14:textId="5D61D2B9"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Front-</w:t>
            </w:r>
            <w:r w:rsidR="00AA6134" w:rsidRPr="008E1CAD">
              <w:rPr>
                <w:rFonts w:ascii="Times New Roman" w:eastAsia="Times New Roman" w:hAnsi="Times New Roman" w:cs="Times New Roman"/>
                <w:sz w:val="18"/>
              </w:rPr>
              <w:t>l</w:t>
            </w:r>
            <w:r w:rsidRPr="008E1CAD">
              <w:rPr>
                <w:rFonts w:ascii="Times New Roman" w:eastAsia="Times New Roman" w:hAnsi="Times New Roman" w:cs="Times New Roman"/>
                <w:sz w:val="18"/>
              </w:rPr>
              <w:t xml:space="preserve">ine </w:t>
            </w:r>
            <w:r w:rsidR="00AA6134" w:rsidRPr="008E1CAD">
              <w:rPr>
                <w:rFonts w:ascii="Times New Roman" w:eastAsia="Times New Roman" w:hAnsi="Times New Roman" w:cs="Times New Roman"/>
                <w:sz w:val="18"/>
              </w:rPr>
              <w:t>p</w:t>
            </w:r>
            <w:r w:rsidRPr="008E1CAD">
              <w:rPr>
                <w:rFonts w:ascii="Times New Roman" w:eastAsia="Times New Roman" w:hAnsi="Times New Roman" w:cs="Times New Roman"/>
                <w:sz w:val="18"/>
              </w:rPr>
              <w:t xml:space="preserve">hase: PFS </w:t>
            </w:r>
            <w:r w:rsidR="00AA6134" w:rsidRPr="008E1CAD">
              <w:rPr>
                <w:rFonts w:ascii="Times New Roman" w:eastAsia="Times New Roman" w:hAnsi="Times New Roman" w:cs="Times New Roman"/>
                <w:sz w:val="18"/>
              </w:rPr>
              <w:t>s</w:t>
            </w:r>
            <w:r w:rsidRPr="008E1CAD">
              <w:rPr>
                <w:rFonts w:ascii="Times New Roman" w:eastAsia="Times New Roman" w:hAnsi="Times New Roman" w:cs="Times New Roman"/>
                <w:sz w:val="18"/>
              </w:rPr>
              <w:t>tate</w:t>
            </w:r>
          </w:p>
        </w:tc>
        <w:tc>
          <w:tcPr>
            <w:tcW w:w="1154" w:type="dxa"/>
            <w:tcBorders>
              <w:top w:val="none" w:sz="0" w:space="0" w:color="000000"/>
              <w:left w:val="none" w:sz="0" w:space="0" w:color="000000"/>
              <w:bottom w:val="none" w:sz="0" w:space="0" w:color="000000"/>
              <w:right w:val="none" w:sz="0" w:space="0" w:color="000000"/>
            </w:tcBorders>
            <w:vAlign w:val="center"/>
          </w:tcPr>
          <w:p w14:paraId="6A2FBD9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0.914</w:t>
            </w:r>
          </w:p>
        </w:tc>
        <w:tc>
          <w:tcPr>
            <w:tcW w:w="1141" w:type="dxa"/>
            <w:tcBorders>
              <w:top w:val="none" w:sz="0" w:space="0" w:color="000000"/>
              <w:left w:val="none" w:sz="0" w:space="0" w:color="000000"/>
              <w:bottom w:val="none" w:sz="0" w:space="0" w:color="000000"/>
              <w:right w:val="none" w:sz="0" w:space="0" w:color="000000"/>
            </w:tcBorders>
            <w:vAlign w:val="center"/>
          </w:tcPr>
          <w:p w14:paraId="448A294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0.686</w:t>
            </w:r>
          </w:p>
        </w:tc>
        <w:tc>
          <w:tcPr>
            <w:tcW w:w="1140" w:type="dxa"/>
            <w:tcBorders>
              <w:top w:val="none" w:sz="0" w:space="0" w:color="000000"/>
              <w:left w:val="none" w:sz="0" w:space="0" w:color="000000"/>
              <w:bottom w:val="none" w:sz="0" w:space="0" w:color="000000"/>
              <w:right w:val="none" w:sz="0" w:space="0" w:color="000000"/>
            </w:tcBorders>
            <w:vAlign w:val="center"/>
          </w:tcPr>
          <w:p w14:paraId="035E11D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1.000</w:t>
            </w:r>
          </w:p>
        </w:tc>
        <w:tc>
          <w:tcPr>
            <w:tcW w:w="1183" w:type="dxa"/>
            <w:tcBorders>
              <w:top w:val="none" w:sz="0" w:space="0" w:color="000000"/>
              <w:left w:val="none" w:sz="0" w:space="0" w:color="000000"/>
              <w:bottom w:val="none" w:sz="0" w:space="0" w:color="000000"/>
              <w:right w:val="none" w:sz="0" w:space="0" w:color="000000"/>
            </w:tcBorders>
            <w:vAlign w:val="center"/>
          </w:tcPr>
          <w:p w14:paraId="4ADFFDF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0E1DB1F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7.654</w:t>
            </w:r>
          </w:p>
        </w:tc>
        <w:tc>
          <w:tcPr>
            <w:tcW w:w="1158" w:type="dxa"/>
            <w:tcBorders>
              <w:top w:val="none" w:sz="0" w:space="0" w:color="000000"/>
              <w:left w:val="none" w:sz="0" w:space="0" w:color="000000"/>
              <w:bottom w:val="none" w:sz="0" w:space="0" w:color="000000"/>
              <w:right w:val="none" w:sz="0" w:space="0" w:color="000000"/>
            </w:tcBorders>
            <w:vAlign w:val="center"/>
          </w:tcPr>
          <w:p w14:paraId="243FFE2F"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0.717</w:t>
            </w:r>
          </w:p>
        </w:tc>
      </w:tr>
      <w:tr w:rsidR="00907E93" w:rsidRPr="008E1CAD" w14:paraId="4EED3C65"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19AA7FD7" w14:textId="38E592C8"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Front-</w:t>
            </w:r>
            <w:r w:rsidR="00AA6134" w:rsidRPr="008E1CAD">
              <w:rPr>
                <w:rFonts w:ascii="Times New Roman" w:eastAsia="Times New Roman" w:hAnsi="Times New Roman" w:cs="Times New Roman"/>
                <w:sz w:val="18"/>
              </w:rPr>
              <w:t>l</w:t>
            </w:r>
            <w:r w:rsidRPr="008E1CAD">
              <w:rPr>
                <w:rFonts w:ascii="Times New Roman" w:eastAsia="Times New Roman" w:hAnsi="Times New Roman" w:cs="Times New Roman"/>
                <w:sz w:val="18"/>
              </w:rPr>
              <w:t xml:space="preserve">ine </w:t>
            </w:r>
            <w:r w:rsidR="00AA6134" w:rsidRPr="008E1CAD">
              <w:rPr>
                <w:rFonts w:ascii="Times New Roman" w:eastAsia="Times New Roman" w:hAnsi="Times New Roman" w:cs="Times New Roman"/>
                <w:sz w:val="18"/>
              </w:rPr>
              <w:t>p</w:t>
            </w:r>
            <w:r w:rsidRPr="008E1CAD">
              <w:rPr>
                <w:rFonts w:ascii="Times New Roman" w:eastAsia="Times New Roman" w:hAnsi="Times New Roman" w:cs="Times New Roman"/>
                <w:sz w:val="18"/>
              </w:rPr>
              <w:t>hase: P</w:t>
            </w:r>
            <w:r w:rsidR="00A01AE5" w:rsidRPr="008E1CAD">
              <w:rPr>
                <w:rFonts w:ascii="Times New Roman" w:eastAsia="Times New Roman" w:hAnsi="Times New Roman" w:cs="Times New Roman"/>
                <w:sz w:val="18"/>
              </w:rPr>
              <w:t>PS</w:t>
            </w:r>
            <w:r w:rsidRPr="008E1CAD">
              <w:rPr>
                <w:rFonts w:ascii="Times New Roman" w:eastAsia="Times New Roman" w:hAnsi="Times New Roman" w:cs="Times New Roman"/>
                <w:sz w:val="18"/>
              </w:rPr>
              <w:t xml:space="preserve"> </w:t>
            </w:r>
            <w:r w:rsidR="00AA6134" w:rsidRPr="008E1CAD">
              <w:rPr>
                <w:rFonts w:ascii="Times New Roman" w:eastAsia="Times New Roman" w:hAnsi="Times New Roman" w:cs="Times New Roman"/>
                <w:sz w:val="18"/>
              </w:rPr>
              <w:t>s</w:t>
            </w:r>
            <w:r w:rsidRPr="008E1CAD">
              <w:rPr>
                <w:rFonts w:ascii="Times New Roman" w:eastAsia="Times New Roman" w:hAnsi="Times New Roman" w:cs="Times New Roman"/>
                <w:sz w:val="18"/>
              </w:rPr>
              <w:t>tate</w:t>
            </w:r>
          </w:p>
        </w:tc>
        <w:tc>
          <w:tcPr>
            <w:tcW w:w="1154" w:type="dxa"/>
            <w:tcBorders>
              <w:top w:val="none" w:sz="0" w:space="0" w:color="000000"/>
              <w:left w:val="none" w:sz="0" w:space="0" w:color="000000"/>
              <w:bottom w:val="none" w:sz="0" w:space="0" w:color="000000"/>
              <w:right w:val="none" w:sz="0" w:space="0" w:color="000000"/>
            </w:tcBorders>
            <w:vAlign w:val="center"/>
          </w:tcPr>
          <w:p w14:paraId="3CF7239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0.738</w:t>
            </w:r>
          </w:p>
        </w:tc>
        <w:tc>
          <w:tcPr>
            <w:tcW w:w="1141" w:type="dxa"/>
            <w:tcBorders>
              <w:top w:val="none" w:sz="0" w:space="0" w:color="000000"/>
              <w:left w:val="none" w:sz="0" w:space="0" w:color="000000"/>
              <w:bottom w:val="none" w:sz="0" w:space="0" w:color="000000"/>
              <w:right w:val="none" w:sz="0" w:space="0" w:color="000000"/>
            </w:tcBorders>
            <w:vAlign w:val="center"/>
          </w:tcPr>
          <w:p w14:paraId="701C1796"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0.554</w:t>
            </w:r>
          </w:p>
        </w:tc>
        <w:tc>
          <w:tcPr>
            <w:tcW w:w="1140" w:type="dxa"/>
            <w:tcBorders>
              <w:top w:val="none" w:sz="0" w:space="0" w:color="000000"/>
              <w:left w:val="none" w:sz="0" w:space="0" w:color="000000"/>
              <w:bottom w:val="none" w:sz="0" w:space="0" w:color="000000"/>
              <w:right w:val="none" w:sz="0" w:space="0" w:color="000000"/>
            </w:tcBorders>
            <w:vAlign w:val="center"/>
          </w:tcPr>
          <w:p w14:paraId="00C1D241"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0.923</w:t>
            </w:r>
          </w:p>
        </w:tc>
        <w:tc>
          <w:tcPr>
            <w:tcW w:w="1183" w:type="dxa"/>
            <w:tcBorders>
              <w:top w:val="none" w:sz="0" w:space="0" w:color="000000"/>
              <w:left w:val="none" w:sz="0" w:space="0" w:color="000000"/>
              <w:bottom w:val="none" w:sz="0" w:space="0" w:color="000000"/>
              <w:right w:val="none" w:sz="0" w:space="0" w:color="000000"/>
            </w:tcBorders>
            <w:vAlign w:val="center"/>
          </w:tcPr>
          <w:p w14:paraId="26ABA55D"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21F39889"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25.458</w:t>
            </w:r>
          </w:p>
        </w:tc>
        <w:tc>
          <w:tcPr>
            <w:tcW w:w="1158" w:type="dxa"/>
            <w:tcBorders>
              <w:top w:val="none" w:sz="0" w:space="0" w:color="000000"/>
              <w:left w:val="none" w:sz="0" w:space="0" w:color="000000"/>
              <w:bottom w:val="none" w:sz="0" w:space="0" w:color="000000"/>
              <w:right w:val="none" w:sz="0" w:space="0" w:color="000000"/>
            </w:tcBorders>
            <w:vAlign w:val="center"/>
          </w:tcPr>
          <w:p w14:paraId="192F8425"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9.036</w:t>
            </w:r>
          </w:p>
        </w:tc>
      </w:tr>
      <w:tr w:rsidR="00907E93" w:rsidRPr="008E1CAD" w14:paraId="2AF6B6F6" w14:textId="77777777" w:rsidTr="00AA719D">
        <w:trPr>
          <w:jc w:val="center"/>
        </w:trPr>
        <w:tc>
          <w:tcPr>
            <w:tcW w:w="1366" w:type="dxa"/>
            <w:tcBorders>
              <w:top w:val="none" w:sz="0" w:space="0" w:color="000000"/>
              <w:left w:val="none" w:sz="0" w:space="0" w:color="000000"/>
              <w:bottom w:val="none" w:sz="0" w:space="0" w:color="000000"/>
              <w:right w:val="none" w:sz="0" w:space="0" w:color="000000"/>
            </w:tcBorders>
          </w:tcPr>
          <w:p w14:paraId="7E32D2AE" w14:textId="78E51294" w:rsidR="00907E93" w:rsidRPr="008E1CAD" w:rsidRDefault="00000000">
            <w:pPr>
              <w:spacing w:before="40" w:after="40"/>
              <w:rPr>
                <w:rFonts w:ascii="Times New Roman" w:hAnsi="Times New Roman" w:cs="Times New Roman"/>
              </w:rPr>
            </w:pPr>
            <w:r w:rsidRPr="008E1CAD">
              <w:rPr>
                <w:rFonts w:ascii="Times New Roman" w:eastAsia="Times New Roman" w:hAnsi="Times New Roman" w:cs="Times New Roman"/>
                <w:sz w:val="18"/>
              </w:rPr>
              <w:t>Subsequent</w:t>
            </w:r>
            <w:r w:rsidR="00AA6134" w:rsidRPr="008E1CAD">
              <w:rPr>
                <w:rFonts w:ascii="Times New Roman" w:eastAsia="Times New Roman" w:hAnsi="Times New Roman" w:cs="Times New Roman"/>
                <w:sz w:val="18"/>
              </w:rPr>
              <w:t>-line phase</w:t>
            </w:r>
            <w:r w:rsidRPr="008E1CAD">
              <w:rPr>
                <w:rFonts w:ascii="Times New Roman" w:eastAsia="Times New Roman" w:hAnsi="Times New Roman" w:cs="Times New Roman"/>
                <w:sz w:val="18"/>
              </w:rPr>
              <w:t xml:space="preserve">: PFS </w:t>
            </w:r>
            <w:r w:rsidR="00AA6134" w:rsidRPr="008E1CAD">
              <w:rPr>
                <w:rFonts w:ascii="Times New Roman" w:eastAsia="Times New Roman" w:hAnsi="Times New Roman" w:cs="Times New Roman"/>
                <w:sz w:val="18"/>
              </w:rPr>
              <w:t>s</w:t>
            </w:r>
            <w:r w:rsidRPr="008E1CAD">
              <w:rPr>
                <w:rFonts w:ascii="Times New Roman" w:eastAsia="Times New Roman" w:hAnsi="Times New Roman" w:cs="Times New Roman"/>
                <w:sz w:val="18"/>
              </w:rPr>
              <w:t>tate</w:t>
            </w:r>
          </w:p>
        </w:tc>
        <w:tc>
          <w:tcPr>
            <w:tcW w:w="1154" w:type="dxa"/>
            <w:tcBorders>
              <w:top w:val="none" w:sz="0" w:space="0" w:color="000000"/>
              <w:left w:val="none" w:sz="0" w:space="0" w:color="000000"/>
              <w:bottom w:val="none" w:sz="0" w:space="0" w:color="000000"/>
              <w:right w:val="none" w:sz="0" w:space="0" w:color="000000"/>
            </w:tcBorders>
            <w:vAlign w:val="center"/>
          </w:tcPr>
          <w:p w14:paraId="7EC9599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0.879</w:t>
            </w:r>
          </w:p>
        </w:tc>
        <w:tc>
          <w:tcPr>
            <w:tcW w:w="1141" w:type="dxa"/>
            <w:tcBorders>
              <w:top w:val="none" w:sz="0" w:space="0" w:color="000000"/>
              <w:left w:val="none" w:sz="0" w:space="0" w:color="000000"/>
              <w:bottom w:val="none" w:sz="0" w:space="0" w:color="000000"/>
              <w:right w:val="none" w:sz="0" w:space="0" w:color="000000"/>
            </w:tcBorders>
            <w:vAlign w:val="center"/>
          </w:tcPr>
          <w:p w14:paraId="0D7EE3C7"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0.659</w:t>
            </w:r>
          </w:p>
        </w:tc>
        <w:tc>
          <w:tcPr>
            <w:tcW w:w="1140" w:type="dxa"/>
            <w:tcBorders>
              <w:top w:val="none" w:sz="0" w:space="0" w:color="000000"/>
              <w:left w:val="none" w:sz="0" w:space="0" w:color="000000"/>
              <w:bottom w:val="none" w:sz="0" w:space="0" w:color="000000"/>
              <w:right w:val="none" w:sz="0" w:space="0" w:color="000000"/>
            </w:tcBorders>
            <w:vAlign w:val="center"/>
          </w:tcPr>
          <w:p w14:paraId="57F50EC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1.000</w:t>
            </w:r>
          </w:p>
        </w:tc>
        <w:tc>
          <w:tcPr>
            <w:tcW w:w="1183" w:type="dxa"/>
            <w:tcBorders>
              <w:top w:val="none" w:sz="0" w:space="0" w:color="000000"/>
              <w:left w:val="none" w:sz="0" w:space="0" w:color="000000"/>
              <w:bottom w:val="none" w:sz="0" w:space="0" w:color="000000"/>
              <w:right w:val="none" w:sz="0" w:space="0" w:color="000000"/>
            </w:tcBorders>
            <w:vAlign w:val="center"/>
          </w:tcPr>
          <w:p w14:paraId="6F43C43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none" w:sz="0" w:space="0" w:color="000000"/>
              <w:right w:val="none" w:sz="0" w:space="0" w:color="000000"/>
            </w:tcBorders>
            <w:vAlign w:val="center"/>
          </w:tcPr>
          <w:p w14:paraId="15CABA5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11.221</w:t>
            </w:r>
          </w:p>
        </w:tc>
        <w:tc>
          <w:tcPr>
            <w:tcW w:w="1158" w:type="dxa"/>
            <w:tcBorders>
              <w:top w:val="none" w:sz="0" w:space="0" w:color="000000"/>
              <w:left w:val="none" w:sz="0" w:space="0" w:color="000000"/>
              <w:bottom w:val="none" w:sz="0" w:space="0" w:color="000000"/>
              <w:right w:val="none" w:sz="0" w:space="0" w:color="000000"/>
            </w:tcBorders>
            <w:vAlign w:val="center"/>
          </w:tcPr>
          <w:p w14:paraId="1D5A4430"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1.545</w:t>
            </w:r>
          </w:p>
        </w:tc>
      </w:tr>
      <w:tr w:rsidR="00907E93" w:rsidRPr="008E1CAD" w14:paraId="2D0A1456" w14:textId="77777777" w:rsidTr="00AA719D">
        <w:trPr>
          <w:jc w:val="center"/>
        </w:trPr>
        <w:tc>
          <w:tcPr>
            <w:tcW w:w="1366" w:type="dxa"/>
            <w:tcBorders>
              <w:top w:val="none" w:sz="0" w:space="0" w:color="000000"/>
              <w:left w:val="none" w:sz="0" w:space="0" w:color="000000"/>
              <w:bottom w:val="single" w:sz="12" w:space="0" w:color="000000"/>
              <w:right w:val="none" w:sz="0" w:space="0" w:color="000000"/>
            </w:tcBorders>
          </w:tcPr>
          <w:p w14:paraId="55D5C6D2" w14:textId="58511662" w:rsidR="00907E93" w:rsidRPr="008E1CAD" w:rsidRDefault="00AA6134">
            <w:pPr>
              <w:spacing w:before="40" w:after="40"/>
              <w:rPr>
                <w:rFonts w:ascii="Times New Roman" w:hAnsi="Times New Roman" w:cs="Times New Roman"/>
              </w:rPr>
            </w:pPr>
            <w:r w:rsidRPr="008E1CAD">
              <w:rPr>
                <w:rFonts w:ascii="Times New Roman" w:eastAsia="Times New Roman" w:hAnsi="Times New Roman" w:cs="Times New Roman"/>
                <w:sz w:val="18"/>
              </w:rPr>
              <w:t>Subsequent-line phase: P</w:t>
            </w:r>
            <w:r w:rsidR="00A01AE5" w:rsidRPr="008E1CAD">
              <w:rPr>
                <w:rFonts w:ascii="Times New Roman" w:eastAsia="Times New Roman" w:hAnsi="Times New Roman" w:cs="Times New Roman"/>
                <w:sz w:val="18"/>
              </w:rPr>
              <w:t>PS</w:t>
            </w:r>
            <w:r w:rsidRPr="008E1CAD">
              <w:rPr>
                <w:rFonts w:ascii="Times New Roman" w:eastAsia="Times New Roman" w:hAnsi="Times New Roman" w:cs="Times New Roman"/>
                <w:sz w:val="18"/>
              </w:rPr>
              <w:t xml:space="preserve"> state</w:t>
            </w:r>
          </w:p>
        </w:tc>
        <w:tc>
          <w:tcPr>
            <w:tcW w:w="1154" w:type="dxa"/>
            <w:tcBorders>
              <w:top w:val="none" w:sz="0" w:space="0" w:color="000000"/>
              <w:left w:val="none" w:sz="0" w:space="0" w:color="000000"/>
              <w:bottom w:val="single" w:sz="12" w:space="0" w:color="000000"/>
              <w:right w:val="none" w:sz="0" w:space="0" w:color="000000"/>
            </w:tcBorders>
            <w:vAlign w:val="center"/>
          </w:tcPr>
          <w:p w14:paraId="05393CC3"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0.738</w:t>
            </w:r>
          </w:p>
        </w:tc>
        <w:tc>
          <w:tcPr>
            <w:tcW w:w="1141" w:type="dxa"/>
            <w:tcBorders>
              <w:top w:val="none" w:sz="0" w:space="0" w:color="000000"/>
              <w:left w:val="none" w:sz="0" w:space="0" w:color="000000"/>
              <w:bottom w:val="single" w:sz="12" w:space="0" w:color="000000"/>
              <w:right w:val="none" w:sz="0" w:space="0" w:color="000000"/>
            </w:tcBorders>
            <w:vAlign w:val="center"/>
          </w:tcPr>
          <w:p w14:paraId="7FDCA97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0.554</w:t>
            </w:r>
          </w:p>
        </w:tc>
        <w:tc>
          <w:tcPr>
            <w:tcW w:w="1140" w:type="dxa"/>
            <w:tcBorders>
              <w:top w:val="none" w:sz="0" w:space="0" w:color="000000"/>
              <w:left w:val="none" w:sz="0" w:space="0" w:color="000000"/>
              <w:bottom w:val="single" w:sz="12" w:space="0" w:color="000000"/>
              <w:right w:val="none" w:sz="0" w:space="0" w:color="000000"/>
            </w:tcBorders>
            <w:vAlign w:val="center"/>
          </w:tcPr>
          <w:p w14:paraId="4F5EA6B4"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0.923</w:t>
            </w:r>
          </w:p>
        </w:tc>
        <w:tc>
          <w:tcPr>
            <w:tcW w:w="1183" w:type="dxa"/>
            <w:tcBorders>
              <w:top w:val="none" w:sz="0" w:space="0" w:color="000000"/>
              <w:left w:val="none" w:sz="0" w:space="0" w:color="000000"/>
              <w:bottom w:val="single" w:sz="12" w:space="0" w:color="000000"/>
              <w:right w:val="none" w:sz="0" w:space="0" w:color="000000"/>
            </w:tcBorders>
            <w:vAlign w:val="center"/>
          </w:tcPr>
          <w:p w14:paraId="7D2E2B1E"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Beta</w:t>
            </w:r>
          </w:p>
        </w:tc>
        <w:tc>
          <w:tcPr>
            <w:tcW w:w="1158" w:type="dxa"/>
            <w:tcBorders>
              <w:top w:val="none" w:sz="0" w:space="0" w:color="000000"/>
              <w:left w:val="none" w:sz="0" w:space="0" w:color="000000"/>
              <w:bottom w:val="single" w:sz="12" w:space="0" w:color="000000"/>
              <w:right w:val="none" w:sz="0" w:space="0" w:color="000000"/>
            </w:tcBorders>
            <w:vAlign w:val="center"/>
          </w:tcPr>
          <w:p w14:paraId="6F391508"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25.458</w:t>
            </w:r>
          </w:p>
        </w:tc>
        <w:tc>
          <w:tcPr>
            <w:tcW w:w="1158" w:type="dxa"/>
            <w:tcBorders>
              <w:top w:val="none" w:sz="0" w:space="0" w:color="000000"/>
              <w:left w:val="none" w:sz="0" w:space="0" w:color="000000"/>
              <w:bottom w:val="single" w:sz="12" w:space="0" w:color="000000"/>
              <w:right w:val="none" w:sz="0" w:space="0" w:color="000000"/>
            </w:tcBorders>
            <w:vAlign w:val="center"/>
          </w:tcPr>
          <w:p w14:paraId="7BE8CCEA" w14:textId="77777777" w:rsidR="00907E93" w:rsidRPr="008E1CAD" w:rsidRDefault="00000000" w:rsidP="00365058">
            <w:pPr>
              <w:spacing w:before="40" w:after="40"/>
              <w:jc w:val="center"/>
              <w:rPr>
                <w:rFonts w:ascii="Times New Roman" w:hAnsi="Times New Roman" w:cs="Times New Roman"/>
              </w:rPr>
            </w:pPr>
            <w:r w:rsidRPr="008E1CAD">
              <w:rPr>
                <w:rFonts w:ascii="Times New Roman" w:eastAsia="Times New Roman" w:hAnsi="Times New Roman" w:cs="Times New Roman"/>
                <w:sz w:val="18"/>
              </w:rPr>
              <w:t>9.036</w:t>
            </w:r>
          </w:p>
        </w:tc>
      </w:tr>
    </w:tbl>
    <w:p w14:paraId="76BAED4C" w14:textId="52DADC4A" w:rsidR="00215D41" w:rsidRPr="008E1CAD" w:rsidRDefault="00CD4950">
      <w:pPr>
        <w:rPr>
          <w:rFonts w:ascii="Times New Roman" w:hAnsi="Times New Roman" w:cs="Times New Roman"/>
          <w:sz w:val="18"/>
          <w:szCs w:val="18"/>
        </w:rPr>
      </w:pPr>
      <w:r w:rsidRPr="008E1CAD">
        <w:rPr>
          <w:rFonts w:ascii="Times New Roman" w:hAnsi="Times New Roman" w:cs="Times New Roman"/>
          <w:sz w:val="18"/>
          <w:szCs w:val="18"/>
        </w:rPr>
        <w:t>α = alpha shape</w:t>
      </w:r>
      <w:r w:rsidR="00EF37B4" w:rsidRPr="008E1CAD">
        <w:rPr>
          <w:rFonts w:ascii="Times New Roman" w:hAnsi="Times New Roman" w:cs="Times New Roman"/>
          <w:sz w:val="18"/>
          <w:szCs w:val="18"/>
        </w:rPr>
        <w:t xml:space="preserve"> parameter</w:t>
      </w:r>
      <w:r w:rsidRPr="008E1CAD">
        <w:rPr>
          <w:rFonts w:ascii="Times New Roman" w:hAnsi="Times New Roman" w:cs="Times New Roman"/>
          <w:sz w:val="18"/>
          <w:szCs w:val="18"/>
        </w:rPr>
        <w:t xml:space="preserve">; β = beta shape </w:t>
      </w:r>
      <w:r w:rsidR="00EF37B4" w:rsidRPr="008E1CAD">
        <w:rPr>
          <w:rFonts w:ascii="Times New Roman" w:hAnsi="Times New Roman" w:cs="Times New Roman"/>
          <w:sz w:val="18"/>
          <w:szCs w:val="18"/>
        </w:rPr>
        <w:t>parameter</w:t>
      </w:r>
      <w:r w:rsidRPr="008E1CAD">
        <w:rPr>
          <w:rFonts w:ascii="Times New Roman" w:hAnsi="Times New Roman" w:cs="Times New Roman"/>
          <w:sz w:val="18"/>
          <w:szCs w:val="18"/>
        </w:rPr>
        <w:t xml:space="preserve">; CI = confidence interval; cm = centimeter; Dd = daratumumab plus dexamethasone; DPd = daratumumab, pomalidomide, and dexamethasone; DRd = daratumumab, lenalidomide, and dexamethasone; HRQoL = health-related quality of life; iCT IRd = </w:t>
      </w:r>
      <w:r w:rsidR="00663BC9" w:rsidRPr="008E1CAD">
        <w:rPr>
          <w:rFonts w:ascii="Times New Roman" w:hAnsi="Times New Roman" w:cs="Times New Roman"/>
          <w:sz w:val="18"/>
          <w:szCs w:val="18"/>
        </w:rPr>
        <w:t>in-class transition to ixazomib, lenalidomide, and dexamethasone</w:t>
      </w:r>
      <w:r w:rsidRPr="008E1CAD">
        <w:rPr>
          <w:rFonts w:ascii="Times New Roman" w:hAnsi="Times New Roman" w:cs="Times New Roman"/>
          <w:sz w:val="18"/>
          <w:szCs w:val="18"/>
        </w:rPr>
        <w:t xml:space="preserve">; IRd = ixazomib, lenalidomide, and dexamethasone; Kd = carfilzomib plus dexamethasone; kg = kilogram; KRd = carfilzomib, lenalidomide, and dexamethasone; ORR = overall response rate; PD = </w:t>
      </w:r>
      <w:r w:rsidR="00F809B8" w:rsidRPr="008E1CAD">
        <w:rPr>
          <w:rFonts w:ascii="Times New Roman" w:hAnsi="Times New Roman" w:cs="Times New Roman"/>
          <w:sz w:val="18"/>
          <w:szCs w:val="18"/>
        </w:rPr>
        <w:t>progressive</w:t>
      </w:r>
      <w:r w:rsidRPr="008E1CAD">
        <w:rPr>
          <w:rFonts w:ascii="Times New Roman" w:hAnsi="Times New Roman" w:cs="Times New Roman"/>
          <w:sz w:val="18"/>
          <w:szCs w:val="18"/>
        </w:rPr>
        <w:t xml:space="preserve"> disease; Pd = pomalidomide plus dexamethasone; PFS = progression-free survival; </w:t>
      </w:r>
      <w:r w:rsidR="00A01AE5" w:rsidRPr="008E1CAD">
        <w:rPr>
          <w:rFonts w:ascii="Times New Roman" w:hAnsi="Times New Roman" w:cs="Times New Roman"/>
          <w:sz w:val="18"/>
          <w:szCs w:val="18"/>
        </w:rPr>
        <w:t xml:space="preserve">PPS = post-progression survival; </w:t>
      </w:r>
      <w:r w:rsidRPr="008E1CAD">
        <w:rPr>
          <w:rFonts w:ascii="Times New Roman" w:hAnsi="Times New Roman" w:cs="Times New Roman"/>
          <w:sz w:val="18"/>
          <w:szCs w:val="18"/>
        </w:rPr>
        <w:t xml:space="preserve">PSA = probabilistic sensitivity analysis; Rd = lenalidomide plus dexamethasone; VAd = bortezomib, doxorubicin, and dexamethasone; VCd = bortezomib, cyclophosphamide, and dexamethasone; Vd = bortezomib plus dexamethasone; VPd = bortezomib, pomalidomide, and dexamethasone; </w:t>
      </w:r>
      <w:r w:rsidRPr="008E1CAD">
        <w:rPr>
          <w:rFonts w:ascii="Times New Roman" w:hAnsi="Times New Roman" w:cs="Times New Roman"/>
          <w:sz w:val="18"/>
          <w:szCs w:val="18"/>
        </w:rPr>
        <w:lastRenderedPageBreak/>
        <w:t>VRd = bortezomib, lenalidomide, and dexamethasone; VTd = bortezomib, thalidomide, and dexamethasone; σ = standard deviation.</w:t>
      </w:r>
    </w:p>
    <w:p w14:paraId="51339073" w14:textId="77777777" w:rsidR="00DE41FB" w:rsidRPr="008E1CAD" w:rsidRDefault="00DE41FB">
      <w:pPr>
        <w:rPr>
          <w:rFonts w:ascii="Times New Roman" w:hAnsi="Times New Roman" w:cs="Times New Roman"/>
        </w:rPr>
      </w:pPr>
    </w:p>
    <w:p w14:paraId="0DD46C6E" w14:textId="77777777" w:rsidR="00DE41FB" w:rsidRPr="008E1CAD" w:rsidRDefault="00DE41FB" w:rsidP="00DE41FB">
      <w:pPr>
        <w:pStyle w:val="1"/>
      </w:pPr>
      <w:r w:rsidRPr="008E1CAD">
        <w:t>Section 4: Scenario analysis for subcutaneous daratumumab</w:t>
      </w:r>
    </w:p>
    <w:p w14:paraId="2224C4E2" w14:textId="212D4EAC" w:rsidR="00DE41FB" w:rsidRPr="008E1CAD" w:rsidRDefault="00DE41FB">
      <w:pPr>
        <w:rPr>
          <w:rFonts w:ascii="Times New Roman" w:hAnsi="Times New Roman" w:cs="Times New Roman"/>
        </w:rPr>
      </w:pPr>
      <w:r w:rsidRPr="008E1CAD">
        <w:rPr>
          <w:rFonts w:ascii="Times New Roman" w:hAnsi="Times New Roman" w:cs="Times New Roman"/>
        </w:rPr>
        <w:t xml:space="preserve">To evaluate the impact of the </w:t>
      </w:r>
      <w:r w:rsidR="00F809B8" w:rsidRPr="008E1CAD">
        <w:rPr>
          <w:rFonts w:ascii="Times New Roman" w:hAnsi="Times New Roman" w:cs="Times New Roman"/>
        </w:rPr>
        <w:t>recently reimbursed subcutaneous formulation of daratumumab</w:t>
      </w:r>
      <w:r w:rsidRPr="008E1CAD">
        <w:rPr>
          <w:rFonts w:ascii="Times New Roman" w:hAnsi="Times New Roman" w:cs="Times New Roman"/>
        </w:rPr>
        <w:t xml:space="preserve"> in China, a scenario analysis was conducted by replacing intravenous daratumumab with subcutaneous daratumumab in the model.</w:t>
      </w:r>
      <w:r w:rsidR="00F809B8" w:rsidRPr="00AA719D">
        <w:rPr>
          <w:rFonts w:ascii="Times New Roman" w:hAnsi="Times New Roman" w:cs="Times New Roman"/>
        </w:rPr>
        <w:t xml:space="preserve"> </w:t>
      </w:r>
      <w:r w:rsidR="00F809B8" w:rsidRPr="008E1CAD">
        <w:rPr>
          <w:rFonts w:ascii="Times New Roman" w:hAnsi="Times New Roman" w:cs="Times New Roman"/>
        </w:rPr>
        <w:t>Only drug acquisition costs were changed; efficacy, safety, treatment compliance, and administration-related assumptions were kept unchanged based on evidence suggesting comparable clinical outcomes between intravenous and subcutaneous daratumumab.</w:t>
      </w:r>
      <w:r w:rsidRPr="008E1CAD">
        <w:rPr>
          <w:rFonts w:ascii="Times New Roman" w:hAnsi="Times New Roman" w:cs="Times New Roman"/>
        </w:rPr>
        <w:t xml:space="preserve"> Because DRd was also included as one available subsequent-line option in the iCT IRd treatment basket, this scenario affected lifetime costs in both the iCT IRd and DRd. The scenario analysis results are summarized in </w:t>
      </w:r>
      <w:r w:rsidRPr="008E1CAD">
        <w:rPr>
          <w:rFonts w:ascii="Times New Roman" w:hAnsi="Times New Roman" w:cs="Times New Roman"/>
          <w:i/>
          <w:iCs/>
        </w:rPr>
        <w:t xml:space="preserve">Table </w:t>
      </w:r>
      <w:r w:rsidR="00F95EB1" w:rsidRPr="008E1CAD">
        <w:rPr>
          <w:rFonts w:ascii="Times New Roman" w:hAnsi="Times New Roman" w:cs="Times New Roman"/>
          <w:i/>
          <w:iCs/>
        </w:rPr>
        <w:t>S</w:t>
      </w:r>
      <w:r w:rsidR="00427DBD">
        <w:rPr>
          <w:rFonts w:ascii="Times New Roman" w:hAnsi="Times New Roman" w:cs="Times New Roman" w:hint="eastAsia"/>
          <w:i/>
          <w:iCs/>
        </w:rPr>
        <w:t>8</w:t>
      </w:r>
      <w:r w:rsidRPr="008E1CAD">
        <w:rPr>
          <w:rFonts w:ascii="Times New Roman" w:hAnsi="Times New Roman" w:cs="Times New Roman"/>
        </w:rPr>
        <w:t>.</w:t>
      </w:r>
    </w:p>
    <w:p w14:paraId="2A5975B6" w14:textId="622FCF36" w:rsidR="0003659E" w:rsidRPr="008E1CAD" w:rsidRDefault="00DE41FB" w:rsidP="00DE41FB">
      <w:pPr>
        <w:spacing w:before="120" w:after="120"/>
        <w:rPr>
          <w:rFonts w:ascii="Times New Roman" w:hAnsi="Times New Roman" w:cs="Times New Roman"/>
        </w:rPr>
      </w:pPr>
      <w:r w:rsidRPr="008E1CAD">
        <w:rPr>
          <w:rFonts w:ascii="Times New Roman" w:eastAsia="Times New Roman" w:hAnsi="Times New Roman" w:cs="Times New Roman"/>
          <w:b/>
          <w:i/>
          <w:sz w:val="18"/>
        </w:rPr>
        <w:t xml:space="preserve">Table </w:t>
      </w:r>
      <w:r w:rsidR="00F95EB1" w:rsidRPr="008E1CAD">
        <w:rPr>
          <w:rFonts w:ascii="Times New Roman" w:eastAsia="Times New Roman" w:hAnsi="Times New Roman" w:cs="Times New Roman"/>
          <w:b/>
          <w:i/>
          <w:sz w:val="18"/>
        </w:rPr>
        <w:t>S</w:t>
      </w:r>
      <w:r w:rsidR="00427DBD">
        <w:rPr>
          <w:rFonts w:ascii="Times New Roman" w:eastAsia="Times New Roman" w:hAnsi="Times New Roman" w:cs="Times New Roman" w:hint="eastAsia"/>
          <w:b/>
          <w:i/>
          <w:sz w:val="18"/>
        </w:rPr>
        <w:t>8</w:t>
      </w:r>
      <w:r w:rsidRPr="008E1CAD">
        <w:rPr>
          <w:rFonts w:ascii="Times New Roman" w:eastAsia="Times New Roman" w:hAnsi="Times New Roman" w:cs="Times New Roman"/>
          <w:b/>
          <w:i/>
          <w:sz w:val="18"/>
        </w:rPr>
        <w:t xml:space="preserve">. </w:t>
      </w:r>
      <w:r w:rsidR="00F809B8" w:rsidRPr="008E1CAD">
        <w:rPr>
          <w:rFonts w:ascii="Times New Roman" w:eastAsia="Times New Roman" w:hAnsi="Times New Roman" w:cs="Times New Roman"/>
          <w:i/>
          <w:sz w:val="18"/>
        </w:rPr>
        <w:t>Scenario analysis results after replacing intravenous daratumumab with subcutaneous daratumumab.</w:t>
      </w:r>
    </w:p>
    <w:tbl>
      <w:tblPr>
        <w:tblW w:w="5000" w:type="pct"/>
        <w:tblLook w:val="04A0" w:firstRow="1" w:lastRow="0" w:firstColumn="1" w:lastColumn="0" w:noHBand="0" w:noVBand="1"/>
      </w:tblPr>
      <w:tblGrid>
        <w:gridCol w:w="4733"/>
        <w:gridCol w:w="1189"/>
        <w:gridCol w:w="1189"/>
        <w:gridCol w:w="1189"/>
      </w:tblGrid>
      <w:tr w:rsidR="00DE41FB" w:rsidRPr="008E1CAD" w14:paraId="1919AC32" w14:textId="77777777" w:rsidTr="00DE41FB">
        <w:trPr>
          <w:trHeight w:val="284"/>
        </w:trPr>
        <w:tc>
          <w:tcPr>
            <w:tcW w:w="2852" w:type="pct"/>
            <w:tcBorders>
              <w:top w:val="single" w:sz="8" w:space="0" w:color="000000"/>
              <w:left w:val="nil"/>
              <w:bottom w:val="single" w:sz="8" w:space="0" w:color="000000"/>
              <w:right w:val="nil"/>
            </w:tcBorders>
            <w:shd w:val="clear" w:color="000000" w:fill="FFFFFF"/>
            <w:vAlign w:val="center"/>
            <w:hideMark/>
          </w:tcPr>
          <w:p w14:paraId="5027CFCE" w14:textId="74DFAC6B" w:rsidR="00DE41FB" w:rsidRPr="008E1CAD" w:rsidRDefault="004F7429" w:rsidP="00DE41FB">
            <w:pPr>
              <w:adjustRightInd w:val="0"/>
              <w:snapToGrid w:val="0"/>
              <w:jc w:val="center"/>
              <w:rPr>
                <w:rFonts w:ascii="Times New Roman" w:eastAsia="DengXian" w:hAnsi="Times New Roman" w:cs="Times New Roman"/>
                <w:b/>
                <w:bCs/>
                <w:color w:val="000000"/>
                <w:sz w:val="18"/>
                <w:szCs w:val="18"/>
              </w:rPr>
            </w:pPr>
            <w:r w:rsidRPr="00F80209">
              <w:rPr>
                <w:rFonts w:ascii="Times New Roman" w:eastAsia="DengXian" w:hAnsi="Times New Roman" w:cs="Times New Roman"/>
                <w:b/>
                <w:bCs/>
                <w:color w:val="000000"/>
                <w:sz w:val="18"/>
                <w:szCs w:val="18"/>
              </w:rPr>
              <w:t>Outcome</w:t>
            </w:r>
          </w:p>
        </w:tc>
        <w:tc>
          <w:tcPr>
            <w:tcW w:w="716" w:type="pct"/>
            <w:tcBorders>
              <w:top w:val="single" w:sz="8" w:space="0" w:color="000000"/>
              <w:left w:val="nil"/>
              <w:bottom w:val="single" w:sz="8" w:space="0" w:color="000000"/>
              <w:right w:val="nil"/>
            </w:tcBorders>
            <w:shd w:val="clear" w:color="000000" w:fill="FFFFFF"/>
            <w:vAlign w:val="center"/>
            <w:hideMark/>
          </w:tcPr>
          <w:p w14:paraId="225BF6D7" w14:textId="2CABC77D"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iCT IRd </w:t>
            </w:r>
          </w:p>
        </w:tc>
        <w:tc>
          <w:tcPr>
            <w:tcW w:w="716" w:type="pct"/>
            <w:tcBorders>
              <w:top w:val="single" w:sz="8" w:space="0" w:color="000000"/>
              <w:left w:val="nil"/>
              <w:bottom w:val="single" w:sz="8" w:space="0" w:color="000000"/>
              <w:right w:val="nil"/>
            </w:tcBorders>
            <w:shd w:val="clear" w:color="000000" w:fill="FFFFFF"/>
            <w:vAlign w:val="center"/>
            <w:hideMark/>
          </w:tcPr>
          <w:p w14:paraId="3D196A40" w14:textId="5510DB4E"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DRd </w:t>
            </w:r>
          </w:p>
        </w:tc>
        <w:tc>
          <w:tcPr>
            <w:tcW w:w="715" w:type="pct"/>
            <w:tcBorders>
              <w:top w:val="single" w:sz="8" w:space="0" w:color="000000"/>
              <w:left w:val="nil"/>
              <w:bottom w:val="single" w:sz="8" w:space="0" w:color="000000"/>
              <w:right w:val="nil"/>
            </w:tcBorders>
            <w:shd w:val="clear" w:color="000000" w:fill="FFFFFF"/>
            <w:vAlign w:val="center"/>
            <w:hideMark/>
          </w:tcPr>
          <w:p w14:paraId="130DF26B"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Difference</w:t>
            </w:r>
          </w:p>
        </w:tc>
      </w:tr>
      <w:tr w:rsidR="00DE41FB" w:rsidRPr="008E1CAD" w14:paraId="28F073D8" w14:textId="77777777" w:rsidTr="00DE41FB">
        <w:trPr>
          <w:trHeight w:val="284"/>
        </w:trPr>
        <w:tc>
          <w:tcPr>
            <w:tcW w:w="2852" w:type="pct"/>
            <w:tcBorders>
              <w:top w:val="nil"/>
              <w:left w:val="nil"/>
              <w:bottom w:val="nil"/>
              <w:right w:val="nil"/>
            </w:tcBorders>
            <w:shd w:val="clear" w:color="000000" w:fill="FFFFFF"/>
            <w:vAlign w:val="center"/>
            <w:hideMark/>
          </w:tcPr>
          <w:p w14:paraId="08EFABEC" w14:textId="77777777" w:rsidR="00DE41FB" w:rsidRPr="008E1CAD" w:rsidRDefault="00DE41FB" w:rsidP="00DE41FB">
            <w:pPr>
              <w:adjustRightInd w:val="0"/>
              <w:snapToGrid w:val="0"/>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Life years</w:t>
            </w:r>
          </w:p>
        </w:tc>
        <w:tc>
          <w:tcPr>
            <w:tcW w:w="716" w:type="pct"/>
            <w:tcBorders>
              <w:top w:val="nil"/>
              <w:left w:val="nil"/>
              <w:bottom w:val="nil"/>
              <w:right w:val="nil"/>
            </w:tcBorders>
            <w:shd w:val="clear" w:color="000000" w:fill="FFFFFF"/>
            <w:vAlign w:val="center"/>
            <w:hideMark/>
          </w:tcPr>
          <w:p w14:paraId="6DA32139"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5.914 </w:t>
            </w:r>
          </w:p>
        </w:tc>
        <w:tc>
          <w:tcPr>
            <w:tcW w:w="716" w:type="pct"/>
            <w:tcBorders>
              <w:top w:val="nil"/>
              <w:left w:val="nil"/>
              <w:bottom w:val="nil"/>
              <w:right w:val="nil"/>
            </w:tcBorders>
            <w:shd w:val="clear" w:color="000000" w:fill="FFFFFF"/>
            <w:vAlign w:val="center"/>
            <w:hideMark/>
          </w:tcPr>
          <w:p w14:paraId="263E7328"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5.177 </w:t>
            </w:r>
          </w:p>
        </w:tc>
        <w:tc>
          <w:tcPr>
            <w:tcW w:w="715" w:type="pct"/>
            <w:tcBorders>
              <w:top w:val="nil"/>
              <w:left w:val="nil"/>
              <w:bottom w:val="nil"/>
              <w:right w:val="nil"/>
            </w:tcBorders>
            <w:shd w:val="clear" w:color="000000" w:fill="FFFFFF"/>
            <w:vAlign w:val="center"/>
            <w:hideMark/>
          </w:tcPr>
          <w:p w14:paraId="44D48B4A"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0.738 </w:t>
            </w:r>
          </w:p>
        </w:tc>
      </w:tr>
      <w:tr w:rsidR="00DE41FB" w:rsidRPr="008E1CAD" w14:paraId="4CB59F47" w14:textId="77777777" w:rsidTr="00DE41FB">
        <w:trPr>
          <w:trHeight w:val="284"/>
        </w:trPr>
        <w:tc>
          <w:tcPr>
            <w:tcW w:w="2852" w:type="pct"/>
            <w:tcBorders>
              <w:top w:val="nil"/>
              <w:left w:val="nil"/>
              <w:bottom w:val="nil"/>
              <w:right w:val="nil"/>
            </w:tcBorders>
            <w:shd w:val="clear" w:color="000000" w:fill="FFFFFF"/>
            <w:vAlign w:val="center"/>
            <w:hideMark/>
          </w:tcPr>
          <w:p w14:paraId="2B98F6C4" w14:textId="77777777" w:rsidR="00DE41FB" w:rsidRPr="008E1CAD" w:rsidRDefault="00DE41FB" w:rsidP="00DE41FB">
            <w:pPr>
              <w:adjustRightInd w:val="0"/>
              <w:snapToGrid w:val="0"/>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QALYs</w:t>
            </w:r>
          </w:p>
        </w:tc>
        <w:tc>
          <w:tcPr>
            <w:tcW w:w="716" w:type="pct"/>
            <w:tcBorders>
              <w:top w:val="nil"/>
              <w:left w:val="nil"/>
              <w:bottom w:val="nil"/>
              <w:right w:val="nil"/>
            </w:tcBorders>
            <w:shd w:val="clear" w:color="000000" w:fill="FFFFFF"/>
            <w:vAlign w:val="center"/>
            <w:hideMark/>
          </w:tcPr>
          <w:p w14:paraId="263F9A1E"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4.724 </w:t>
            </w:r>
          </w:p>
        </w:tc>
        <w:tc>
          <w:tcPr>
            <w:tcW w:w="716" w:type="pct"/>
            <w:tcBorders>
              <w:top w:val="nil"/>
              <w:left w:val="nil"/>
              <w:bottom w:val="nil"/>
              <w:right w:val="nil"/>
            </w:tcBorders>
            <w:shd w:val="clear" w:color="000000" w:fill="FFFFFF"/>
            <w:vAlign w:val="center"/>
            <w:hideMark/>
          </w:tcPr>
          <w:p w14:paraId="71082D5D"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4.144 </w:t>
            </w:r>
          </w:p>
        </w:tc>
        <w:tc>
          <w:tcPr>
            <w:tcW w:w="715" w:type="pct"/>
            <w:tcBorders>
              <w:top w:val="nil"/>
              <w:left w:val="nil"/>
              <w:bottom w:val="nil"/>
              <w:right w:val="nil"/>
            </w:tcBorders>
            <w:shd w:val="clear" w:color="000000" w:fill="FFFFFF"/>
            <w:vAlign w:val="center"/>
            <w:hideMark/>
          </w:tcPr>
          <w:p w14:paraId="61C13907"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 xml:space="preserve">0.580 </w:t>
            </w:r>
          </w:p>
        </w:tc>
      </w:tr>
      <w:tr w:rsidR="00DE41FB" w:rsidRPr="008E1CAD" w14:paraId="6140C7C1" w14:textId="77777777" w:rsidTr="00DE41FB">
        <w:trPr>
          <w:trHeight w:val="284"/>
        </w:trPr>
        <w:tc>
          <w:tcPr>
            <w:tcW w:w="2852" w:type="pct"/>
            <w:tcBorders>
              <w:top w:val="nil"/>
              <w:left w:val="nil"/>
              <w:bottom w:val="nil"/>
              <w:right w:val="nil"/>
            </w:tcBorders>
            <w:shd w:val="clear" w:color="000000" w:fill="FFFFFF"/>
            <w:vAlign w:val="center"/>
            <w:hideMark/>
          </w:tcPr>
          <w:p w14:paraId="6EAC498C" w14:textId="66FB5F52" w:rsidR="00DE41FB" w:rsidRPr="008E1CAD" w:rsidRDefault="00DE41FB" w:rsidP="00DE41FB">
            <w:pPr>
              <w:adjustRightInd w:val="0"/>
              <w:snapToGrid w:val="0"/>
              <w:rPr>
                <w:rFonts w:ascii="Times New Roman" w:eastAsia="DengXian" w:hAnsi="Times New Roman" w:cs="Times New Roman"/>
                <w:b/>
                <w:bCs/>
                <w:color w:val="000000"/>
                <w:sz w:val="18"/>
                <w:szCs w:val="18"/>
              </w:rPr>
            </w:pPr>
            <w:r w:rsidRPr="008E1CAD">
              <w:rPr>
                <w:rFonts w:ascii="Times New Roman" w:eastAsia="DengXian" w:hAnsi="Times New Roman" w:cs="Times New Roman"/>
                <w:b/>
                <w:bCs/>
                <w:color w:val="000000"/>
                <w:sz w:val="18"/>
                <w:szCs w:val="18"/>
              </w:rPr>
              <w:t>Lifetime medical costs</w:t>
            </w:r>
            <w:r w:rsidR="00117EF6" w:rsidRPr="00F80209">
              <w:rPr>
                <w:rFonts w:ascii="Times New Roman" w:eastAsia="DengXian" w:hAnsi="Times New Roman" w:cs="Times New Roman"/>
                <w:b/>
                <w:bCs/>
                <w:color w:val="000000"/>
                <w:sz w:val="18"/>
                <w:szCs w:val="18"/>
              </w:rPr>
              <w:t xml:space="preserve"> </w:t>
            </w:r>
            <w:r w:rsidR="00117EF6" w:rsidRPr="008E1CAD">
              <w:rPr>
                <w:rFonts w:ascii="Times New Roman" w:eastAsia="DengXian" w:hAnsi="Times New Roman" w:cs="Times New Roman"/>
                <w:b/>
                <w:bCs/>
                <w:color w:val="000000"/>
                <w:sz w:val="18"/>
                <w:szCs w:val="18"/>
              </w:rPr>
              <w:t>(US$)</w:t>
            </w:r>
          </w:p>
        </w:tc>
        <w:tc>
          <w:tcPr>
            <w:tcW w:w="716" w:type="pct"/>
            <w:tcBorders>
              <w:top w:val="nil"/>
              <w:left w:val="nil"/>
              <w:bottom w:val="nil"/>
              <w:right w:val="nil"/>
            </w:tcBorders>
            <w:shd w:val="clear" w:color="000000" w:fill="FFFFFF"/>
            <w:vAlign w:val="center"/>
            <w:hideMark/>
          </w:tcPr>
          <w:p w14:paraId="628E6922"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sz w:val="18"/>
                <w:szCs w:val="18"/>
              </w:rPr>
              <w:t>$88,298</w:t>
            </w:r>
          </w:p>
        </w:tc>
        <w:tc>
          <w:tcPr>
            <w:tcW w:w="716" w:type="pct"/>
            <w:tcBorders>
              <w:top w:val="nil"/>
              <w:left w:val="nil"/>
              <w:bottom w:val="nil"/>
              <w:right w:val="nil"/>
            </w:tcBorders>
            <w:shd w:val="clear" w:color="000000" w:fill="FFFFFF"/>
            <w:vAlign w:val="center"/>
            <w:hideMark/>
          </w:tcPr>
          <w:p w14:paraId="0C641F23"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sz w:val="18"/>
                <w:szCs w:val="18"/>
              </w:rPr>
              <w:t>$93,352</w:t>
            </w:r>
          </w:p>
        </w:tc>
        <w:tc>
          <w:tcPr>
            <w:tcW w:w="715" w:type="pct"/>
            <w:tcBorders>
              <w:top w:val="nil"/>
              <w:left w:val="nil"/>
              <w:bottom w:val="nil"/>
              <w:right w:val="nil"/>
            </w:tcBorders>
            <w:shd w:val="clear" w:color="000000" w:fill="FFFFFF"/>
            <w:vAlign w:val="center"/>
            <w:hideMark/>
          </w:tcPr>
          <w:p w14:paraId="780B36C3"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b/>
                <w:bCs/>
                <w:sz w:val="18"/>
                <w:szCs w:val="18"/>
              </w:rPr>
              <w:t>-$5,054</w:t>
            </w:r>
          </w:p>
        </w:tc>
      </w:tr>
      <w:tr w:rsidR="00DE41FB" w:rsidRPr="008E1CAD" w14:paraId="4DECA4A5" w14:textId="77777777" w:rsidTr="00DE41FB">
        <w:trPr>
          <w:trHeight w:val="284"/>
        </w:trPr>
        <w:tc>
          <w:tcPr>
            <w:tcW w:w="2852" w:type="pct"/>
            <w:tcBorders>
              <w:top w:val="nil"/>
              <w:left w:val="nil"/>
              <w:bottom w:val="nil"/>
              <w:right w:val="nil"/>
            </w:tcBorders>
            <w:shd w:val="clear" w:color="000000" w:fill="FFFFFF"/>
            <w:vAlign w:val="center"/>
            <w:hideMark/>
          </w:tcPr>
          <w:p w14:paraId="0D3C2D21" w14:textId="2880E71A" w:rsidR="00DE41FB" w:rsidRPr="008E1CAD" w:rsidRDefault="00DE41FB" w:rsidP="00DE41FB">
            <w:pPr>
              <w:adjustRightInd w:val="0"/>
              <w:snapToGrid w:val="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Front</w:t>
            </w:r>
            <w:r w:rsidRPr="00F80209">
              <w:rPr>
                <w:rFonts w:ascii="Times New Roman" w:eastAsia="DengXian" w:hAnsi="Times New Roman" w:cs="Times New Roman"/>
                <w:color w:val="000000"/>
                <w:sz w:val="18"/>
                <w:szCs w:val="18"/>
              </w:rPr>
              <w:t>-</w:t>
            </w:r>
            <w:r w:rsidRPr="008E1CAD">
              <w:rPr>
                <w:rFonts w:ascii="Times New Roman" w:eastAsia="DengXian" w:hAnsi="Times New Roman" w:cs="Times New Roman"/>
                <w:color w:val="000000"/>
                <w:sz w:val="18"/>
                <w:szCs w:val="18"/>
              </w:rPr>
              <w:t>line</w:t>
            </w:r>
            <w:r w:rsidR="00F809B8" w:rsidRPr="00F80209">
              <w:rPr>
                <w:rFonts w:ascii="Times New Roman" w:eastAsia="DengXian" w:hAnsi="Times New Roman" w:cs="Times New Roman"/>
                <w:color w:val="000000"/>
                <w:sz w:val="18"/>
                <w:szCs w:val="18"/>
              </w:rPr>
              <w:t xml:space="preserve"> treatment</w:t>
            </w:r>
          </w:p>
        </w:tc>
        <w:tc>
          <w:tcPr>
            <w:tcW w:w="716" w:type="pct"/>
            <w:tcBorders>
              <w:top w:val="nil"/>
              <w:left w:val="nil"/>
              <w:bottom w:val="nil"/>
              <w:right w:val="nil"/>
            </w:tcBorders>
            <w:shd w:val="clear" w:color="000000" w:fill="FFFFFF"/>
            <w:vAlign w:val="center"/>
            <w:hideMark/>
          </w:tcPr>
          <w:p w14:paraId="589C01AF"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$46,963</w:t>
            </w:r>
          </w:p>
        </w:tc>
        <w:tc>
          <w:tcPr>
            <w:tcW w:w="716" w:type="pct"/>
            <w:tcBorders>
              <w:top w:val="nil"/>
              <w:left w:val="nil"/>
              <w:bottom w:val="nil"/>
              <w:right w:val="nil"/>
            </w:tcBorders>
            <w:shd w:val="clear" w:color="000000" w:fill="FFFFFF"/>
            <w:vAlign w:val="center"/>
            <w:hideMark/>
          </w:tcPr>
          <w:p w14:paraId="73F98757"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$63,615</w:t>
            </w:r>
          </w:p>
        </w:tc>
        <w:tc>
          <w:tcPr>
            <w:tcW w:w="715" w:type="pct"/>
            <w:tcBorders>
              <w:top w:val="nil"/>
              <w:left w:val="nil"/>
              <w:bottom w:val="nil"/>
              <w:right w:val="nil"/>
            </w:tcBorders>
            <w:shd w:val="clear" w:color="000000" w:fill="FFFFFF"/>
            <w:vAlign w:val="center"/>
            <w:hideMark/>
          </w:tcPr>
          <w:p w14:paraId="46C9FC9B"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-$16,651</w:t>
            </w:r>
          </w:p>
        </w:tc>
      </w:tr>
      <w:tr w:rsidR="00DE41FB" w:rsidRPr="008E1CAD" w14:paraId="3ED3CE92" w14:textId="77777777" w:rsidTr="00DE41FB">
        <w:trPr>
          <w:trHeight w:val="284"/>
        </w:trPr>
        <w:tc>
          <w:tcPr>
            <w:tcW w:w="2852" w:type="pct"/>
            <w:tcBorders>
              <w:top w:val="nil"/>
              <w:left w:val="nil"/>
              <w:bottom w:val="nil"/>
              <w:right w:val="nil"/>
            </w:tcBorders>
            <w:shd w:val="clear" w:color="000000" w:fill="FFFFFF"/>
            <w:vAlign w:val="center"/>
            <w:hideMark/>
          </w:tcPr>
          <w:p w14:paraId="0A751BB8"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Drug acquisition costs</w:t>
            </w:r>
          </w:p>
        </w:tc>
        <w:tc>
          <w:tcPr>
            <w:tcW w:w="716" w:type="pct"/>
            <w:tcBorders>
              <w:top w:val="nil"/>
              <w:left w:val="nil"/>
              <w:bottom w:val="nil"/>
              <w:right w:val="nil"/>
            </w:tcBorders>
            <w:shd w:val="clear" w:color="000000" w:fill="FFFFFF"/>
            <w:vAlign w:val="center"/>
            <w:hideMark/>
          </w:tcPr>
          <w:p w14:paraId="49B52A26"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$37,751</w:t>
            </w:r>
          </w:p>
        </w:tc>
        <w:tc>
          <w:tcPr>
            <w:tcW w:w="716" w:type="pct"/>
            <w:tcBorders>
              <w:top w:val="nil"/>
              <w:left w:val="nil"/>
              <w:bottom w:val="nil"/>
              <w:right w:val="nil"/>
            </w:tcBorders>
            <w:shd w:val="clear" w:color="000000" w:fill="FFFFFF"/>
            <w:vAlign w:val="center"/>
            <w:hideMark/>
          </w:tcPr>
          <w:p w14:paraId="461ED882"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$49,154</w:t>
            </w:r>
          </w:p>
        </w:tc>
        <w:tc>
          <w:tcPr>
            <w:tcW w:w="715" w:type="pct"/>
            <w:tcBorders>
              <w:top w:val="nil"/>
              <w:left w:val="nil"/>
              <w:bottom w:val="nil"/>
              <w:right w:val="nil"/>
            </w:tcBorders>
            <w:shd w:val="clear" w:color="000000" w:fill="FFFFFF"/>
            <w:vAlign w:val="center"/>
            <w:hideMark/>
          </w:tcPr>
          <w:p w14:paraId="2864D1DD"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-$11,403</w:t>
            </w:r>
          </w:p>
        </w:tc>
      </w:tr>
      <w:tr w:rsidR="00DE41FB" w:rsidRPr="008E1CAD" w14:paraId="5F4DE8CA" w14:textId="77777777" w:rsidTr="00DE41FB">
        <w:trPr>
          <w:trHeight w:val="284"/>
        </w:trPr>
        <w:tc>
          <w:tcPr>
            <w:tcW w:w="2852" w:type="pct"/>
            <w:tcBorders>
              <w:top w:val="nil"/>
              <w:left w:val="nil"/>
              <w:bottom w:val="nil"/>
              <w:right w:val="nil"/>
            </w:tcBorders>
            <w:shd w:val="clear" w:color="000000" w:fill="FFFFFF"/>
            <w:vAlign w:val="center"/>
            <w:hideMark/>
          </w:tcPr>
          <w:p w14:paraId="5EA89539"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Treatment administration costs</w:t>
            </w:r>
          </w:p>
        </w:tc>
        <w:tc>
          <w:tcPr>
            <w:tcW w:w="716" w:type="pct"/>
            <w:tcBorders>
              <w:top w:val="nil"/>
              <w:left w:val="nil"/>
              <w:bottom w:val="nil"/>
              <w:right w:val="nil"/>
            </w:tcBorders>
            <w:shd w:val="clear" w:color="000000" w:fill="FFFFFF"/>
            <w:vAlign w:val="center"/>
            <w:hideMark/>
          </w:tcPr>
          <w:p w14:paraId="047191EA"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$1,154</w:t>
            </w:r>
          </w:p>
        </w:tc>
        <w:tc>
          <w:tcPr>
            <w:tcW w:w="716" w:type="pct"/>
            <w:tcBorders>
              <w:top w:val="nil"/>
              <w:left w:val="nil"/>
              <w:bottom w:val="nil"/>
              <w:right w:val="nil"/>
            </w:tcBorders>
            <w:shd w:val="clear" w:color="000000" w:fill="FFFFFF"/>
            <w:vAlign w:val="center"/>
            <w:hideMark/>
          </w:tcPr>
          <w:p w14:paraId="13F76832"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$5,234</w:t>
            </w:r>
          </w:p>
        </w:tc>
        <w:tc>
          <w:tcPr>
            <w:tcW w:w="715" w:type="pct"/>
            <w:tcBorders>
              <w:top w:val="nil"/>
              <w:left w:val="nil"/>
              <w:bottom w:val="nil"/>
              <w:right w:val="nil"/>
            </w:tcBorders>
            <w:shd w:val="clear" w:color="000000" w:fill="FFFFFF"/>
            <w:vAlign w:val="center"/>
            <w:hideMark/>
          </w:tcPr>
          <w:p w14:paraId="156503C2"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-$4,080</w:t>
            </w:r>
          </w:p>
        </w:tc>
      </w:tr>
      <w:tr w:rsidR="00DE41FB" w:rsidRPr="008E1CAD" w14:paraId="17A9FE1E" w14:textId="77777777" w:rsidTr="00DE41FB">
        <w:trPr>
          <w:trHeight w:val="284"/>
        </w:trPr>
        <w:tc>
          <w:tcPr>
            <w:tcW w:w="2852" w:type="pct"/>
            <w:tcBorders>
              <w:top w:val="nil"/>
              <w:left w:val="nil"/>
              <w:bottom w:val="nil"/>
              <w:right w:val="nil"/>
            </w:tcBorders>
            <w:shd w:val="clear" w:color="000000" w:fill="FFFFFF"/>
            <w:vAlign w:val="center"/>
            <w:hideMark/>
          </w:tcPr>
          <w:p w14:paraId="4AE879E1"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SAE management costs</w:t>
            </w:r>
          </w:p>
        </w:tc>
        <w:tc>
          <w:tcPr>
            <w:tcW w:w="716" w:type="pct"/>
            <w:tcBorders>
              <w:top w:val="nil"/>
              <w:left w:val="nil"/>
              <w:bottom w:val="nil"/>
              <w:right w:val="nil"/>
            </w:tcBorders>
            <w:shd w:val="clear" w:color="000000" w:fill="FFFFFF"/>
            <w:vAlign w:val="center"/>
            <w:hideMark/>
          </w:tcPr>
          <w:p w14:paraId="5398872D"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$681</w:t>
            </w:r>
          </w:p>
        </w:tc>
        <w:tc>
          <w:tcPr>
            <w:tcW w:w="716" w:type="pct"/>
            <w:tcBorders>
              <w:top w:val="nil"/>
              <w:left w:val="nil"/>
              <w:bottom w:val="nil"/>
              <w:right w:val="nil"/>
            </w:tcBorders>
            <w:shd w:val="clear" w:color="000000" w:fill="FFFFFF"/>
            <w:vAlign w:val="center"/>
            <w:hideMark/>
          </w:tcPr>
          <w:p w14:paraId="1D86AC68"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$1,438</w:t>
            </w:r>
          </w:p>
        </w:tc>
        <w:tc>
          <w:tcPr>
            <w:tcW w:w="715" w:type="pct"/>
            <w:tcBorders>
              <w:top w:val="nil"/>
              <w:left w:val="nil"/>
              <w:bottom w:val="nil"/>
              <w:right w:val="nil"/>
            </w:tcBorders>
            <w:shd w:val="clear" w:color="000000" w:fill="FFFFFF"/>
            <w:vAlign w:val="center"/>
            <w:hideMark/>
          </w:tcPr>
          <w:p w14:paraId="5290CA34"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-$757</w:t>
            </w:r>
          </w:p>
        </w:tc>
      </w:tr>
      <w:tr w:rsidR="00DE41FB" w:rsidRPr="008E1CAD" w14:paraId="076C49D2" w14:textId="77777777" w:rsidTr="00DE41FB">
        <w:trPr>
          <w:trHeight w:val="284"/>
        </w:trPr>
        <w:tc>
          <w:tcPr>
            <w:tcW w:w="2852" w:type="pct"/>
            <w:tcBorders>
              <w:top w:val="nil"/>
              <w:left w:val="nil"/>
              <w:bottom w:val="nil"/>
              <w:right w:val="nil"/>
            </w:tcBorders>
            <w:shd w:val="clear" w:color="000000" w:fill="FFFFFF"/>
            <w:vAlign w:val="center"/>
            <w:hideMark/>
          </w:tcPr>
          <w:p w14:paraId="6F86747A"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Disease monitoring costs</w:t>
            </w:r>
          </w:p>
        </w:tc>
        <w:tc>
          <w:tcPr>
            <w:tcW w:w="716" w:type="pct"/>
            <w:tcBorders>
              <w:top w:val="nil"/>
              <w:left w:val="nil"/>
              <w:bottom w:val="nil"/>
              <w:right w:val="nil"/>
            </w:tcBorders>
            <w:shd w:val="clear" w:color="000000" w:fill="FFFFFF"/>
            <w:vAlign w:val="center"/>
            <w:hideMark/>
          </w:tcPr>
          <w:p w14:paraId="142F5346"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$2,379</w:t>
            </w:r>
          </w:p>
        </w:tc>
        <w:tc>
          <w:tcPr>
            <w:tcW w:w="716" w:type="pct"/>
            <w:tcBorders>
              <w:top w:val="nil"/>
              <w:left w:val="nil"/>
              <w:bottom w:val="nil"/>
              <w:right w:val="nil"/>
            </w:tcBorders>
            <w:shd w:val="clear" w:color="000000" w:fill="FFFFFF"/>
            <w:vAlign w:val="center"/>
            <w:hideMark/>
          </w:tcPr>
          <w:p w14:paraId="769A6E15"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$2,635</w:t>
            </w:r>
          </w:p>
        </w:tc>
        <w:tc>
          <w:tcPr>
            <w:tcW w:w="715" w:type="pct"/>
            <w:tcBorders>
              <w:top w:val="nil"/>
              <w:left w:val="nil"/>
              <w:bottom w:val="nil"/>
              <w:right w:val="nil"/>
            </w:tcBorders>
            <w:shd w:val="clear" w:color="000000" w:fill="FFFFFF"/>
            <w:vAlign w:val="center"/>
            <w:hideMark/>
          </w:tcPr>
          <w:p w14:paraId="1D7E0AAD"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-$256</w:t>
            </w:r>
          </w:p>
        </w:tc>
      </w:tr>
      <w:tr w:rsidR="00DE41FB" w:rsidRPr="008E1CAD" w14:paraId="2CA6727D" w14:textId="77777777" w:rsidTr="00DE41FB">
        <w:trPr>
          <w:trHeight w:val="284"/>
        </w:trPr>
        <w:tc>
          <w:tcPr>
            <w:tcW w:w="2852" w:type="pct"/>
            <w:tcBorders>
              <w:top w:val="nil"/>
              <w:left w:val="nil"/>
              <w:bottom w:val="nil"/>
              <w:right w:val="nil"/>
            </w:tcBorders>
            <w:shd w:val="clear" w:color="000000" w:fill="FFFFFF"/>
            <w:vAlign w:val="center"/>
            <w:hideMark/>
          </w:tcPr>
          <w:p w14:paraId="6058AEE4"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Disease management costs</w:t>
            </w:r>
          </w:p>
        </w:tc>
        <w:tc>
          <w:tcPr>
            <w:tcW w:w="716" w:type="pct"/>
            <w:tcBorders>
              <w:top w:val="nil"/>
              <w:left w:val="nil"/>
              <w:bottom w:val="nil"/>
              <w:right w:val="nil"/>
            </w:tcBorders>
            <w:shd w:val="clear" w:color="000000" w:fill="FFFFFF"/>
            <w:vAlign w:val="center"/>
            <w:hideMark/>
          </w:tcPr>
          <w:p w14:paraId="453A441C"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$5,000</w:t>
            </w:r>
          </w:p>
        </w:tc>
        <w:tc>
          <w:tcPr>
            <w:tcW w:w="716" w:type="pct"/>
            <w:tcBorders>
              <w:top w:val="nil"/>
              <w:left w:val="nil"/>
              <w:bottom w:val="nil"/>
              <w:right w:val="nil"/>
            </w:tcBorders>
            <w:shd w:val="clear" w:color="000000" w:fill="FFFFFF"/>
            <w:vAlign w:val="center"/>
            <w:hideMark/>
          </w:tcPr>
          <w:p w14:paraId="6753B37F"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$5,154</w:t>
            </w:r>
          </w:p>
        </w:tc>
        <w:tc>
          <w:tcPr>
            <w:tcW w:w="715" w:type="pct"/>
            <w:tcBorders>
              <w:top w:val="nil"/>
              <w:left w:val="nil"/>
              <w:bottom w:val="nil"/>
              <w:right w:val="nil"/>
            </w:tcBorders>
            <w:shd w:val="clear" w:color="000000" w:fill="FFFFFF"/>
            <w:vAlign w:val="center"/>
            <w:hideMark/>
          </w:tcPr>
          <w:p w14:paraId="1119FA5D"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-$154</w:t>
            </w:r>
          </w:p>
        </w:tc>
      </w:tr>
      <w:tr w:rsidR="00DE41FB" w:rsidRPr="008E1CAD" w14:paraId="31560C7F" w14:textId="77777777" w:rsidTr="00DE41FB">
        <w:trPr>
          <w:trHeight w:val="284"/>
        </w:trPr>
        <w:tc>
          <w:tcPr>
            <w:tcW w:w="2852" w:type="pct"/>
            <w:tcBorders>
              <w:top w:val="nil"/>
              <w:left w:val="nil"/>
              <w:bottom w:val="nil"/>
              <w:right w:val="nil"/>
            </w:tcBorders>
            <w:shd w:val="clear" w:color="000000" w:fill="FFFFFF"/>
            <w:vAlign w:val="center"/>
            <w:hideMark/>
          </w:tcPr>
          <w:p w14:paraId="088301CD" w14:textId="29333603" w:rsidR="00DE41FB" w:rsidRPr="008E1CAD" w:rsidRDefault="00DE41FB" w:rsidP="00DE41FB">
            <w:pPr>
              <w:adjustRightInd w:val="0"/>
              <w:snapToGrid w:val="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Subsequent</w:t>
            </w:r>
            <w:r w:rsidR="00F809B8" w:rsidRPr="00F80209">
              <w:rPr>
                <w:rFonts w:ascii="Times New Roman" w:eastAsia="DengXian" w:hAnsi="Times New Roman" w:cs="Times New Roman"/>
                <w:color w:val="000000"/>
                <w:sz w:val="18"/>
                <w:szCs w:val="18"/>
              </w:rPr>
              <w:t>-</w:t>
            </w:r>
            <w:r w:rsidRPr="008E1CAD">
              <w:rPr>
                <w:rFonts w:ascii="Times New Roman" w:eastAsia="DengXian" w:hAnsi="Times New Roman" w:cs="Times New Roman"/>
                <w:color w:val="000000"/>
                <w:sz w:val="18"/>
                <w:szCs w:val="18"/>
              </w:rPr>
              <w:t>line</w:t>
            </w:r>
            <w:r w:rsidR="00F809B8" w:rsidRPr="00F80209">
              <w:rPr>
                <w:rFonts w:ascii="Times New Roman" w:eastAsia="DengXian" w:hAnsi="Times New Roman" w:cs="Times New Roman"/>
                <w:color w:val="000000"/>
                <w:sz w:val="18"/>
                <w:szCs w:val="18"/>
              </w:rPr>
              <w:t xml:space="preserve"> treatment</w:t>
            </w:r>
          </w:p>
        </w:tc>
        <w:tc>
          <w:tcPr>
            <w:tcW w:w="716" w:type="pct"/>
            <w:tcBorders>
              <w:top w:val="nil"/>
              <w:left w:val="nil"/>
              <w:bottom w:val="nil"/>
              <w:right w:val="nil"/>
            </w:tcBorders>
            <w:shd w:val="clear" w:color="000000" w:fill="FFFFFF"/>
            <w:vAlign w:val="center"/>
            <w:hideMark/>
          </w:tcPr>
          <w:p w14:paraId="24E8C787"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$41,334</w:t>
            </w:r>
          </w:p>
        </w:tc>
        <w:tc>
          <w:tcPr>
            <w:tcW w:w="716" w:type="pct"/>
            <w:tcBorders>
              <w:top w:val="nil"/>
              <w:left w:val="nil"/>
              <w:bottom w:val="nil"/>
              <w:right w:val="nil"/>
            </w:tcBorders>
            <w:shd w:val="clear" w:color="000000" w:fill="FFFFFF"/>
            <w:vAlign w:val="center"/>
            <w:hideMark/>
          </w:tcPr>
          <w:p w14:paraId="113B4669"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$29,737</w:t>
            </w:r>
          </w:p>
        </w:tc>
        <w:tc>
          <w:tcPr>
            <w:tcW w:w="715" w:type="pct"/>
            <w:tcBorders>
              <w:top w:val="nil"/>
              <w:left w:val="nil"/>
              <w:bottom w:val="nil"/>
              <w:right w:val="nil"/>
            </w:tcBorders>
            <w:shd w:val="clear" w:color="000000" w:fill="FFFFFF"/>
            <w:vAlign w:val="center"/>
            <w:hideMark/>
          </w:tcPr>
          <w:p w14:paraId="2A08DEBF" w14:textId="77777777" w:rsidR="00DE41FB" w:rsidRPr="008E1CAD" w:rsidRDefault="00DE41FB" w:rsidP="00DE41FB">
            <w:pPr>
              <w:adjustRightInd w:val="0"/>
              <w:snapToGrid w:val="0"/>
              <w:jc w:val="center"/>
              <w:rPr>
                <w:rFonts w:ascii="Times New Roman" w:eastAsia="DengXian" w:hAnsi="Times New Roman" w:cs="Times New Roman"/>
                <w:b/>
                <w:bCs/>
                <w:color w:val="000000"/>
                <w:sz w:val="18"/>
                <w:szCs w:val="18"/>
              </w:rPr>
            </w:pPr>
            <w:r w:rsidRPr="008E1CAD">
              <w:rPr>
                <w:rFonts w:ascii="Times New Roman" w:eastAsia="DengXian" w:hAnsi="Times New Roman" w:cs="Times New Roman"/>
                <w:sz w:val="18"/>
                <w:szCs w:val="18"/>
              </w:rPr>
              <w:t>$11,597</w:t>
            </w:r>
          </w:p>
        </w:tc>
      </w:tr>
      <w:tr w:rsidR="00DE41FB" w:rsidRPr="008E1CAD" w14:paraId="08941F18" w14:textId="77777777" w:rsidTr="00DE41FB">
        <w:trPr>
          <w:trHeight w:val="284"/>
        </w:trPr>
        <w:tc>
          <w:tcPr>
            <w:tcW w:w="2852" w:type="pct"/>
            <w:tcBorders>
              <w:top w:val="nil"/>
              <w:left w:val="nil"/>
              <w:bottom w:val="nil"/>
              <w:right w:val="nil"/>
            </w:tcBorders>
            <w:shd w:val="clear" w:color="000000" w:fill="FFFFFF"/>
            <w:vAlign w:val="center"/>
            <w:hideMark/>
          </w:tcPr>
          <w:p w14:paraId="4D2A2613"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Drug acquisition costs</w:t>
            </w:r>
          </w:p>
        </w:tc>
        <w:tc>
          <w:tcPr>
            <w:tcW w:w="716" w:type="pct"/>
            <w:tcBorders>
              <w:top w:val="nil"/>
              <w:left w:val="nil"/>
              <w:bottom w:val="nil"/>
              <w:right w:val="nil"/>
            </w:tcBorders>
            <w:shd w:val="clear" w:color="000000" w:fill="FFFFFF"/>
            <w:vAlign w:val="center"/>
            <w:hideMark/>
          </w:tcPr>
          <w:p w14:paraId="65037ABF"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$21,147</w:t>
            </w:r>
          </w:p>
        </w:tc>
        <w:tc>
          <w:tcPr>
            <w:tcW w:w="716" w:type="pct"/>
            <w:tcBorders>
              <w:top w:val="nil"/>
              <w:left w:val="nil"/>
              <w:bottom w:val="nil"/>
              <w:right w:val="nil"/>
            </w:tcBorders>
            <w:shd w:val="clear" w:color="000000" w:fill="FFFFFF"/>
            <w:vAlign w:val="center"/>
            <w:hideMark/>
          </w:tcPr>
          <w:p w14:paraId="5188D50A"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$15,960</w:t>
            </w:r>
          </w:p>
        </w:tc>
        <w:tc>
          <w:tcPr>
            <w:tcW w:w="715" w:type="pct"/>
            <w:tcBorders>
              <w:top w:val="nil"/>
              <w:left w:val="nil"/>
              <w:bottom w:val="nil"/>
              <w:right w:val="nil"/>
            </w:tcBorders>
            <w:shd w:val="clear" w:color="000000" w:fill="FFFFFF"/>
            <w:vAlign w:val="center"/>
            <w:hideMark/>
          </w:tcPr>
          <w:p w14:paraId="0961D0CE"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$5,187</w:t>
            </w:r>
          </w:p>
        </w:tc>
      </w:tr>
      <w:tr w:rsidR="00DE41FB" w:rsidRPr="008E1CAD" w14:paraId="10E53C18" w14:textId="77777777" w:rsidTr="00DE41FB">
        <w:trPr>
          <w:trHeight w:val="284"/>
        </w:trPr>
        <w:tc>
          <w:tcPr>
            <w:tcW w:w="2852" w:type="pct"/>
            <w:tcBorders>
              <w:top w:val="nil"/>
              <w:left w:val="nil"/>
              <w:bottom w:val="nil"/>
              <w:right w:val="nil"/>
            </w:tcBorders>
            <w:shd w:val="clear" w:color="000000" w:fill="FFFFFF"/>
            <w:vAlign w:val="center"/>
            <w:hideMark/>
          </w:tcPr>
          <w:p w14:paraId="35798E4C"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Treatment administration costs</w:t>
            </w:r>
          </w:p>
        </w:tc>
        <w:tc>
          <w:tcPr>
            <w:tcW w:w="716" w:type="pct"/>
            <w:tcBorders>
              <w:top w:val="nil"/>
              <w:left w:val="nil"/>
              <w:bottom w:val="nil"/>
              <w:right w:val="nil"/>
            </w:tcBorders>
            <w:shd w:val="clear" w:color="000000" w:fill="FFFFFF"/>
            <w:vAlign w:val="center"/>
            <w:hideMark/>
          </w:tcPr>
          <w:p w14:paraId="1354C464"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$2,513</w:t>
            </w:r>
          </w:p>
        </w:tc>
        <w:tc>
          <w:tcPr>
            <w:tcW w:w="716" w:type="pct"/>
            <w:tcBorders>
              <w:top w:val="nil"/>
              <w:left w:val="nil"/>
              <w:bottom w:val="nil"/>
              <w:right w:val="nil"/>
            </w:tcBorders>
            <w:shd w:val="clear" w:color="000000" w:fill="FFFFFF"/>
            <w:vAlign w:val="center"/>
            <w:hideMark/>
          </w:tcPr>
          <w:p w14:paraId="35FEEE72"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$1,721</w:t>
            </w:r>
          </w:p>
        </w:tc>
        <w:tc>
          <w:tcPr>
            <w:tcW w:w="715" w:type="pct"/>
            <w:tcBorders>
              <w:top w:val="nil"/>
              <w:left w:val="nil"/>
              <w:bottom w:val="nil"/>
              <w:right w:val="nil"/>
            </w:tcBorders>
            <w:shd w:val="clear" w:color="000000" w:fill="FFFFFF"/>
            <w:vAlign w:val="center"/>
            <w:hideMark/>
          </w:tcPr>
          <w:p w14:paraId="100E5526"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$791</w:t>
            </w:r>
          </w:p>
        </w:tc>
      </w:tr>
      <w:tr w:rsidR="00DE41FB" w:rsidRPr="008E1CAD" w14:paraId="77D75A62" w14:textId="77777777" w:rsidTr="00DE41FB">
        <w:trPr>
          <w:trHeight w:val="284"/>
        </w:trPr>
        <w:tc>
          <w:tcPr>
            <w:tcW w:w="2852" w:type="pct"/>
            <w:tcBorders>
              <w:top w:val="nil"/>
              <w:left w:val="nil"/>
              <w:bottom w:val="nil"/>
              <w:right w:val="nil"/>
            </w:tcBorders>
            <w:shd w:val="clear" w:color="000000" w:fill="FFFFFF"/>
            <w:vAlign w:val="center"/>
            <w:hideMark/>
          </w:tcPr>
          <w:p w14:paraId="453F1B6B"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SAE management costs</w:t>
            </w:r>
          </w:p>
        </w:tc>
        <w:tc>
          <w:tcPr>
            <w:tcW w:w="716" w:type="pct"/>
            <w:tcBorders>
              <w:top w:val="nil"/>
              <w:left w:val="nil"/>
              <w:bottom w:val="nil"/>
              <w:right w:val="nil"/>
            </w:tcBorders>
            <w:shd w:val="clear" w:color="000000" w:fill="FFFFFF"/>
            <w:vAlign w:val="center"/>
            <w:hideMark/>
          </w:tcPr>
          <w:p w14:paraId="210BA247"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$1,290</w:t>
            </w:r>
          </w:p>
        </w:tc>
        <w:tc>
          <w:tcPr>
            <w:tcW w:w="716" w:type="pct"/>
            <w:tcBorders>
              <w:top w:val="nil"/>
              <w:left w:val="nil"/>
              <w:bottom w:val="nil"/>
              <w:right w:val="nil"/>
            </w:tcBorders>
            <w:shd w:val="clear" w:color="000000" w:fill="FFFFFF"/>
            <w:vAlign w:val="center"/>
            <w:hideMark/>
          </w:tcPr>
          <w:p w14:paraId="565D3F6E"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$1,151</w:t>
            </w:r>
          </w:p>
        </w:tc>
        <w:tc>
          <w:tcPr>
            <w:tcW w:w="715" w:type="pct"/>
            <w:tcBorders>
              <w:top w:val="nil"/>
              <w:left w:val="nil"/>
              <w:bottom w:val="nil"/>
              <w:right w:val="nil"/>
            </w:tcBorders>
            <w:shd w:val="clear" w:color="000000" w:fill="FFFFFF"/>
            <w:vAlign w:val="center"/>
            <w:hideMark/>
          </w:tcPr>
          <w:p w14:paraId="52573D4B"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$139</w:t>
            </w:r>
          </w:p>
        </w:tc>
      </w:tr>
      <w:tr w:rsidR="00DE41FB" w:rsidRPr="008E1CAD" w14:paraId="4F287DBC" w14:textId="77777777" w:rsidTr="00DE41FB">
        <w:trPr>
          <w:trHeight w:val="284"/>
        </w:trPr>
        <w:tc>
          <w:tcPr>
            <w:tcW w:w="2852" w:type="pct"/>
            <w:tcBorders>
              <w:top w:val="nil"/>
              <w:left w:val="nil"/>
              <w:bottom w:val="nil"/>
              <w:right w:val="nil"/>
            </w:tcBorders>
            <w:shd w:val="clear" w:color="000000" w:fill="FFFFFF"/>
            <w:vAlign w:val="center"/>
            <w:hideMark/>
          </w:tcPr>
          <w:p w14:paraId="1BB35046"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Disease monitoring costs</w:t>
            </w:r>
          </w:p>
        </w:tc>
        <w:tc>
          <w:tcPr>
            <w:tcW w:w="716" w:type="pct"/>
            <w:tcBorders>
              <w:top w:val="nil"/>
              <w:left w:val="nil"/>
              <w:bottom w:val="nil"/>
              <w:right w:val="nil"/>
            </w:tcBorders>
            <w:shd w:val="clear" w:color="000000" w:fill="FFFFFF"/>
            <w:vAlign w:val="center"/>
            <w:hideMark/>
          </w:tcPr>
          <w:p w14:paraId="491B4BD8"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$909</w:t>
            </w:r>
          </w:p>
        </w:tc>
        <w:tc>
          <w:tcPr>
            <w:tcW w:w="716" w:type="pct"/>
            <w:tcBorders>
              <w:top w:val="nil"/>
              <w:left w:val="nil"/>
              <w:bottom w:val="nil"/>
              <w:right w:val="nil"/>
            </w:tcBorders>
            <w:shd w:val="clear" w:color="000000" w:fill="FFFFFF"/>
            <w:vAlign w:val="center"/>
            <w:hideMark/>
          </w:tcPr>
          <w:p w14:paraId="37398313"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$672</w:t>
            </w:r>
          </w:p>
        </w:tc>
        <w:tc>
          <w:tcPr>
            <w:tcW w:w="715" w:type="pct"/>
            <w:tcBorders>
              <w:top w:val="nil"/>
              <w:left w:val="nil"/>
              <w:bottom w:val="nil"/>
              <w:right w:val="nil"/>
            </w:tcBorders>
            <w:shd w:val="clear" w:color="000000" w:fill="FFFFFF"/>
            <w:vAlign w:val="center"/>
            <w:hideMark/>
          </w:tcPr>
          <w:p w14:paraId="34662F11"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$237</w:t>
            </w:r>
          </w:p>
        </w:tc>
      </w:tr>
      <w:tr w:rsidR="00DE41FB" w:rsidRPr="008E1CAD" w14:paraId="749564D0" w14:textId="77777777" w:rsidTr="00DE41FB">
        <w:trPr>
          <w:trHeight w:val="284"/>
        </w:trPr>
        <w:tc>
          <w:tcPr>
            <w:tcW w:w="2852" w:type="pct"/>
            <w:tcBorders>
              <w:top w:val="nil"/>
              <w:left w:val="nil"/>
              <w:bottom w:val="single" w:sz="8" w:space="0" w:color="000000"/>
              <w:right w:val="nil"/>
            </w:tcBorders>
            <w:shd w:val="clear" w:color="000000" w:fill="FFFFFF"/>
            <w:vAlign w:val="center"/>
            <w:hideMark/>
          </w:tcPr>
          <w:p w14:paraId="5F6C77FA" w14:textId="77777777" w:rsidR="00DE41FB" w:rsidRPr="008E1CAD" w:rsidRDefault="00DE41FB" w:rsidP="00DE41FB">
            <w:pPr>
              <w:adjustRightInd w:val="0"/>
              <w:snapToGrid w:val="0"/>
              <w:ind w:firstLineChars="100" w:firstLine="180"/>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Disease management costs</w:t>
            </w:r>
          </w:p>
        </w:tc>
        <w:tc>
          <w:tcPr>
            <w:tcW w:w="716" w:type="pct"/>
            <w:tcBorders>
              <w:top w:val="nil"/>
              <w:left w:val="nil"/>
              <w:bottom w:val="nil"/>
              <w:right w:val="nil"/>
            </w:tcBorders>
            <w:shd w:val="clear" w:color="000000" w:fill="FFFFFF"/>
            <w:vAlign w:val="center"/>
            <w:hideMark/>
          </w:tcPr>
          <w:p w14:paraId="5F439420"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$15,475</w:t>
            </w:r>
          </w:p>
        </w:tc>
        <w:tc>
          <w:tcPr>
            <w:tcW w:w="716" w:type="pct"/>
            <w:tcBorders>
              <w:top w:val="nil"/>
              <w:left w:val="nil"/>
              <w:bottom w:val="nil"/>
              <w:right w:val="nil"/>
            </w:tcBorders>
            <w:shd w:val="clear" w:color="000000" w:fill="FFFFFF"/>
            <w:vAlign w:val="center"/>
            <w:hideMark/>
          </w:tcPr>
          <w:p w14:paraId="3E967574"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$10,233</w:t>
            </w:r>
          </w:p>
        </w:tc>
        <w:tc>
          <w:tcPr>
            <w:tcW w:w="715" w:type="pct"/>
            <w:tcBorders>
              <w:top w:val="nil"/>
              <w:left w:val="nil"/>
              <w:bottom w:val="nil"/>
              <w:right w:val="nil"/>
            </w:tcBorders>
            <w:shd w:val="clear" w:color="000000" w:fill="FFFFFF"/>
            <w:vAlign w:val="center"/>
            <w:hideMark/>
          </w:tcPr>
          <w:p w14:paraId="2D24B736" w14:textId="77777777"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sz w:val="18"/>
                <w:szCs w:val="18"/>
              </w:rPr>
              <w:t>$5,242</w:t>
            </w:r>
          </w:p>
        </w:tc>
      </w:tr>
      <w:tr w:rsidR="00DE41FB" w:rsidRPr="008E1CAD" w14:paraId="69DACD33" w14:textId="77777777" w:rsidTr="00DE41FB">
        <w:trPr>
          <w:trHeight w:val="284"/>
        </w:trPr>
        <w:tc>
          <w:tcPr>
            <w:tcW w:w="2852" w:type="pct"/>
            <w:tcBorders>
              <w:top w:val="nil"/>
              <w:left w:val="nil"/>
              <w:bottom w:val="single" w:sz="8" w:space="0" w:color="000000"/>
              <w:right w:val="nil"/>
            </w:tcBorders>
            <w:shd w:val="clear" w:color="000000" w:fill="FFFFFF"/>
            <w:vAlign w:val="center"/>
            <w:hideMark/>
          </w:tcPr>
          <w:p w14:paraId="2249635E" w14:textId="002B3DCA" w:rsidR="00DE41FB" w:rsidRPr="008E1CAD" w:rsidRDefault="00DE41FB" w:rsidP="00DE41FB">
            <w:pPr>
              <w:adjustRightInd w:val="0"/>
              <w:snapToGrid w:val="0"/>
              <w:jc w:val="center"/>
              <w:rPr>
                <w:rFonts w:ascii="Times New Roman" w:eastAsia="DengXian" w:hAnsi="Times New Roman" w:cs="Times New Roman"/>
                <w:color w:val="000000"/>
                <w:sz w:val="18"/>
                <w:szCs w:val="18"/>
              </w:rPr>
            </w:pPr>
            <w:r w:rsidRPr="008E1CAD">
              <w:rPr>
                <w:rFonts w:ascii="Times New Roman" w:eastAsia="DengXian" w:hAnsi="Times New Roman" w:cs="Times New Roman"/>
                <w:color w:val="000000"/>
                <w:sz w:val="18"/>
                <w:szCs w:val="18"/>
              </w:rPr>
              <w:t>ICUR for iCT IRd vs. DRd</w:t>
            </w:r>
            <w:r w:rsidRPr="00AA719D">
              <w:rPr>
                <w:rFonts w:ascii="Times New Roman" w:hAnsi="Times New Roman" w:cs="Times New Roman"/>
                <w:color w:val="000000"/>
                <w:sz w:val="18"/>
                <w:szCs w:val="18"/>
              </w:rPr>
              <w:t xml:space="preserve"> </w:t>
            </w:r>
          </w:p>
        </w:tc>
        <w:tc>
          <w:tcPr>
            <w:tcW w:w="2148" w:type="pct"/>
            <w:gridSpan w:val="3"/>
            <w:tcBorders>
              <w:top w:val="single" w:sz="8" w:space="0" w:color="000000"/>
              <w:left w:val="nil"/>
              <w:bottom w:val="single" w:sz="8" w:space="0" w:color="000000"/>
              <w:right w:val="nil"/>
            </w:tcBorders>
            <w:shd w:val="clear" w:color="000000" w:fill="FFFFFF"/>
            <w:vAlign w:val="center"/>
            <w:hideMark/>
          </w:tcPr>
          <w:p w14:paraId="7475E4E3" w14:textId="629ADA29" w:rsidR="00DE41FB" w:rsidRPr="008E1CAD" w:rsidRDefault="00F809B8" w:rsidP="00DE41FB">
            <w:pPr>
              <w:adjustRightInd w:val="0"/>
              <w:snapToGrid w:val="0"/>
              <w:jc w:val="center"/>
              <w:rPr>
                <w:rFonts w:ascii="Times New Roman" w:eastAsia="DengXian" w:hAnsi="Times New Roman" w:cs="Times New Roman"/>
                <w:color w:val="000000"/>
                <w:sz w:val="18"/>
                <w:szCs w:val="18"/>
              </w:rPr>
            </w:pPr>
            <w:r w:rsidRPr="00F80209">
              <w:rPr>
                <w:rFonts w:ascii="Times New Roman" w:eastAsia="DengXian" w:hAnsi="Times New Roman" w:cs="Times New Roman"/>
                <w:color w:val="000000"/>
                <w:sz w:val="18"/>
                <w:szCs w:val="18"/>
              </w:rPr>
              <w:t>D</w:t>
            </w:r>
            <w:r w:rsidR="00DE41FB" w:rsidRPr="008E1CAD">
              <w:rPr>
                <w:rFonts w:ascii="Times New Roman" w:eastAsia="DengXian" w:hAnsi="Times New Roman" w:cs="Times New Roman"/>
                <w:color w:val="000000"/>
                <w:sz w:val="18"/>
                <w:szCs w:val="18"/>
              </w:rPr>
              <w:t>ominan</w:t>
            </w:r>
            <w:r w:rsidRPr="00F80209">
              <w:rPr>
                <w:rFonts w:ascii="Times New Roman" w:eastAsia="DengXian" w:hAnsi="Times New Roman" w:cs="Times New Roman"/>
                <w:color w:val="000000"/>
                <w:sz w:val="18"/>
                <w:szCs w:val="18"/>
              </w:rPr>
              <w:t>t</w:t>
            </w:r>
          </w:p>
        </w:tc>
      </w:tr>
    </w:tbl>
    <w:p w14:paraId="7F062C1A" w14:textId="6C871A33" w:rsidR="00DE41FB" w:rsidRPr="008E1CAD" w:rsidRDefault="00DE41FB" w:rsidP="00117EF6">
      <w:pPr>
        <w:rPr>
          <w:rFonts w:ascii="Times New Roman" w:hAnsi="Times New Roman" w:cs="Times New Roman"/>
          <w:sz w:val="18"/>
          <w:szCs w:val="18"/>
        </w:rPr>
      </w:pPr>
      <w:r w:rsidRPr="008E1CAD">
        <w:rPr>
          <w:rFonts w:ascii="Times New Roman" w:hAnsi="Times New Roman" w:cs="Times New Roman"/>
          <w:sz w:val="18"/>
          <w:szCs w:val="18"/>
        </w:rPr>
        <w:t>DRd = daratumumab, lenalidomide, and dexamethasone; ICUR = incremental cost-utility ratio; iCT IRd = in-class transition to ixazomib</w:t>
      </w:r>
      <w:r w:rsidRPr="00F80209">
        <w:rPr>
          <w:rFonts w:ascii="Times New Roman" w:hAnsi="Times New Roman" w:cs="Times New Roman"/>
          <w:sz w:val="18"/>
          <w:szCs w:val="18"/>
        </w:rPr>
        <w:t xml:space="preserve">, </w:t>
      </w:r>
      <w:r w:rsidRPr="008E1CAD">
        <w:rPr>
          <w:rFonts w:ascii="Times New Roman" w:hAnsi="Times New Roman" w:cs="Times New Roman"/>
          <w:sz w:val="18"/>
          <w:szCs w:val="18"/>
        </w:rPr>
        <w:t>lenalidomide</w:t>
      </w:r>
      <w:r w:rsidRPr="00F80209">
        <w:rPr>
          <w:rFonts w:ascii="Times New Roman" w:hAnsi="Times New Roman" w:cs="Times New Roman"/>
          <w:sz w:val="18"/>
          <w:szCs w:val="18"/>
        </w:rPr>
        <w:t xml:space="preserve">, and </w:t>
      </w:r>
      <w:r w:rsidRPr="008E1CAD">
        <w:rPr>
          <w:rFonts w:ascii="Times New Roman" w:hAnsi="Times New Roman" w:cs="Times New Roman"/>
          <w:sz w:val="18"/>
          <w:szCs w:val="18"/>
        </w:rPr>
        <w:t>dexamethasone; QALY = quality-adjusted life year; SAE = serious adverse event.</w:t>
      </w:r>
    </w:p>
    <w:p w14:paraId="59CA2325" w14:textId="77777777" w:rsidR="00117EF6" w:rsidRPr="008E1CAD" w:rsidRDefault="00117EF6" w:rsidP="00117EF6">
      <w:pPr>
        <w:rPr>
          <w:rFonts w:ascii="Times New Roman" w:hAnsi="Times New Roman" w:cs="Times New Roman"/>
          <w:sz w:val="18"/>
          <w:szCs w:val="18"/>
        </w:rPr>
      </w:pPr>
      <w:r w:rsidRPr="00F80209">
        <w:rPr>
          <w:rFonts w:ascii="Times New Roman" w:hAnsi="Times New Roman" w:cs="Times New Roman"/>
          <w:sz w:val="18"/>
          <w:szCs w:val="18"/>
        </w:rPr>
        <w:t xml:space="preserve">Note: </w:t>
      </w:r>
      <w:r w:rsidRPr="008E1CAD">
        <w:rPr>
          <w:rFonts w:ascii="Times New Roman" w:hAnsi="Times New Roman" w:cs="Times New Roman"/>
          <w:sz w:val="18"/>
          <w:szCs w:val="18"/>
        </w:rPr>
        <w:t>Costs are reported in 2026 US dollars</w:t>
      </w:r>
      <w:r w:rsidRPr="00F80209">
        <w:rPr>
          <w:rFonts w:ascii="Times New Roman" w:hAnsi="Times New Roman" w:cs="Times New Roman"/>
          <w:sz w:val="18"/>
          <w:szCs w:val="18"/>
        </w:rPr>
        <w:t>.</w:t>
      </w:r>
    </w:p>
    <w:p w14:paraId="0F972896" w14:textId="77777777" w:rsidR="00117EF6" w:rsidRPr="008E1CAD" w:rsidRDefault="00117EF6" w:rsidP="00DE41FB">
      <w:pPr>
        <w:rPr>
          <w:rFonts w:ascii="Times New Roman" w:hAnsi="Times New Roman" w:cs="Times New Roman"/>
          <w:sz w:val="18"/>
          <w:szCs w:val="18"/>
        </w:rPr>
      </w:pPr>
    </w:p>
    <w:p w14:paraId="196DF34B" w14:textId="02BA1176" w:rsidR="0003659E" w:rsidRPr="008E1CAD" w:rsidRDefault="0003659E">
      <w:pPr>
        <w:rPr>
          <w:rFonts w:ascii="Times New Roman" w:hAnsi="Times New Roman" w:cs="Times New Roman"/>
          <w:b/>
          <w:bCs/>
        </w:rPr>
      </w:pPr>
      <w:r w:rsidRPr="008E1CAD">
        <w:rPr>
          <w:rFonts w:ascii="Times New Roman" w:hAnsi="Times New Roman" w:cs="Times New Roman"/>
          <w:b/>
          <w:bCs/>
        </w:rPr>
        <w:t>Reference</w:t>
      </w:r>
      <w:r w:rsidR="00F809B8" w:rsidRPr="008E1CAD">
        <w:rPr>
          <w:rFonts w:ascii="Times New Roman" w:hAnsi="Times New Roman" w:cs="Times New Roman"/>
          <w:b/>
          <w:bCs/>
        </w:rPr>
        <w:t>s</w:t>
      </w:r>
    </w:p>
    <w:p w14:paraId="0DF43F37" w14:textId="368C923A"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Abe 2024</w:t>
      </w:r>
      <w:r w:rsidRPr="008E1CAD">
        <w:rPr>
          <w:rFonts w:ascii="Times New Roman" w:hAnsi="Times New Roman" w:cs="Times New Roman"/>
          <w:sz w:val="18"/>
          <w:szCs w:val="18"/>
        </w:rPr>
        <w:tab/>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Abe Y, Kubonishi S, Ri M et al. An observational study of once-weekly carfilzomib in patients with multiple myeloma in Japan (Weekly-CAR study). Future Oncol. [Epub ahead of print] (2024).</w:t>
      </w:r>
    </w:p>
    <w:p w14:paraId="58DBFABD" w14:textId="26FFBB6C"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Atrash 2021a</w:t>
      </w:r>
      <w:r w:rsidRPr="008E1CAD">
        <w:rPr>
          <w:rFonts w:ascii="Times New Roman" w:hAnsi="Times New Roman" w:cs="Times New Roman"/>
          <w:sz w:val="18"/>
          <w:szCs w:val="18"/>
        </w:rPr>
        <w:tab/>
        <w:t>Atrash S, Thompson-Leduc P, Tai MH et al. Treatment patterns and effectiveness of patients with multiple myeloma initiating daratumumab across different lines of therapy: a real-world chart review study. BMC Cancer 21(1), 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11 (2021).</w:t>
      </w:r>
    </w:p>
    <w:p w14:paraId="4B16A171" w14:textId="2F5001B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Atrash 2021b</w:t>
      </w:r>
      <w:r w:rsidRPr="008E1CAD">
        <w:rPr>
          <w:rFonts w:ascii="Times New Roman" w:hAnsi="Times New Roman" w:cs="Times New Roman"/>
          <w:sz w:val="18"/>
          <w:szCs w:val="18"/>
        </w:rPr>
        <w:tab/>
        <w:t>Atrash S, Thompson-Leduc P, Tai MH et al. Treatment response among patients with multiple myeloma initiating daratumumab across different lines of therapy: a real-world chart review study. J. Clin. Oncol. 39(15_suppl), e18820</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e18820 (2021).</w:t>
      </w:r>
    </w:p>
    <w:p w14:paraId="2C152DB0" w14:textId="3D0A0906"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Belotti 2024</w:t>
      </w:r>
      <w:r w:rsidRPr="008E1CAD">
        <w:rPr>
          <w:rFonts w:ascii="Times New Roman" w:hAnsi="Times New Roman" w:cs="Times New Roman"/>
          <w:sz w:val="18"/>
          <w:szCs w:val="18"/>
        </w:rPr>
        <w:tab/>
        <w:t>Belotti A, Crippa C, Daffini R et al. Efficacy and safety of daratumumab-based combination therapies in transplant-ineligible newly diagnosed multiple myeloma patients: a real-life population analysis according to IMWG frailty score. Haematologica 109(Suppl. 1), 28</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28 (2024).</w:t>
      </w:r>
    </w:p>
    <w:p w14:paraId="1A35CAF0" w14:textId="1519E5EC"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Briggs 200</w:t>
      </w:r>
      <w:r w:rsidR="00D67D76" w:rsidRPr="008E1CAD">
        <w:rPr>
          <w:rFonts w:ascii="Times New Roman" w:hAnsi="Times New Roman" w:cs="Times New Roman"/>
          <w:sz w:val="18"/>
          <w:szCs w:val="18"/>
        </w:rPr>
        <w:t>6</w:t>
      </w:r>
      <w:r w:rsidRPr="008E1CAD">
        <w:rPr>
          <w:rFonts w:ascii="Times New Roman" w:hAnsi="Times New Roman" w:cs="Times New Roman"/>
          <w:sz w:val="18"/>
          <w:szCs w:val="18"/>
        </w:rPr>
        <w:tab/>
      </w:r>
      <w:r w:rsidR="00D67D76" w:rsidRPr="008E1CAD">
        <w:rPr>
          <w:rFonts w:ascii="Times New Roman" w:hAnsi="Times New Roman" w:cs="Times New Roman"/>
          <w:sz w:val="18"/>
          <w:szCs w:val="18"/>
        </w:rPr>
        <w:t>Briggs A, Claxton K, Sculpher M. Decision Modelling for Health Economic Evaluation. Oxford: Oxford University Press; 2006.</w:t>
      </w:r>
    </w:p>
    <w:p w14:paraId="35B86411" w14:textId="5759C17E"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Chen 2019</w:t>
      </w:r>
      <w:r w:rsidRPr="008E1CAD">
        <w:rPr>
          <w:rFonts w:ascii="Times New Roman" w:hAnsi="Times New Roman" w:cs="Times New Roman"/>
          <w:sz w:val="18"/>
          <w:szCs w:val="18"/>
        </w:rPr>
        <w:tab/>
        <w:t>Chen XQ, Lin FL, Hou WH et al. Efficacy of bortezomib-based chemotherapy regimens in the treatment of myeloma bone disease and analysis of prognostic factors. Shandong Med. 59(5), 74</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77 (2019) [Chinese].</w:t>
      </w:r>
    </w:p>
    <w:p w14:paraId="25837032" w14:textId="03996E41"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lastRenderedPageBreak/>
        <w:t>Chen 2020</w:t>
      </w:r>
      <w:r w:rsidRPr="008E1CAD">
        <w:rPr>
          <w:rFonts w:ascii="Times New Roman" w:hAnsi="Times New Roman" w:cs="Times New Roman"/>
          <w:sz w:val="18"/>
          <w:szCs w:val="18"/>
        </w:rPr>
        <w:tab/>
        <w:t>Chen YY, Li YH, Wang DM et al. Efficacy of low-dose bortezomib-based triplet chemotherapy in elderly patients with multiple myeloma. Chin. J. Exp. Hematol. 28(2), 535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539 (2020) [Chinese].</w:t>
      </w:r>
    </w:p>
    <w:p w14:paraId="001411B3" w14:textId="7777777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Chen 2022</w:t>
      </w:r>
      <w:r w:rsidRPr="008E1CAD">
        <w:rPr>
          <w:rFonts w:ascii="Times New Roman" w:hAnsi="Times New Roman" w:cs="Times New Roman"/>
          <w:sz w:val="18"/>
          <w:szCs w:val="18"/>
        </w:rPr>
        <w:tab/>
        <w:t>Chen L, Yi K, Lan H et al. Bortezomib, epirubicin, and dexamethasone (PAD) results in superior free-progression survival compared to bortezomib, cyclophosphamide, and dexamethasone (VCD) treatment in non-transplantation newly diagnosed multiple myeloma patients aged between 50 to 65: a retrospective single-center analysis in non-transplant patients. Ann. Transl. Med. 10(12), 682 (2022).</w:t>
      </w:r>
    </w:p>
    <w:p w14:paraId="670CDDC2" w14:textId="725D1284"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Chiu 2023</w:t>
      </w:r>
      <w:r w:rsidRPr="008E1CAD">
        <w:rPr>
          <w:rFonts w:ascii="Times New Roman" w:hAnsi="Times New Roman" w:cs="Times New Roman"/>
          <w:sz w:val="18"/>
          <w:szCs w:val="18"/>
        </w:rPr>
        <w:tab/>
        <w:t>Chiu LJ, Kuo CY, Ma MC et al. Real-world evidence of daratumumab-lenalidomide-dexamethasone in relapsed/refractory multiple myeloma patients: a single-center experience in Taiwan focusing on efficacy. J. Cancer Res. Pract. 10(1), 19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23 (2023).</w:t>
      </w:r>
    </w:p>
    <w:p w14:paraId="7EFCE651" w14:textId="49D2830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Cho 2023</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
        <w:t>Cho HJ, Jo JC, Lee YJ et al. Predictive role of absolute lymphocyte count in daratumumab-treated patients with relapsed/refractory multiple myeloma. Korean J. Intern. Med. 38(2), 238</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247 (2023).</w:t>
      </w:r>
    </w:p>
    <w:p w14:paraId="322AC6FF" w14:textId="56627D4F"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Deng 2021</w:t>
      </w:r>
      <w:r w:rsidRPr="008E1CAD">
        <w:rPr>
          <w:rFonts w:ascii="Times New Roman" w:hAnsi="Times New Roman" w:cs="Times New Roman"/>
          <w:sz w:val="18"/>
          <w:szCs w:val="18"/>
        </w:rPr>
        <w:tab/>
        <w:t>Deng S, Xu Y, Sui W et al. P-174: Clinical study of bortezomib-based regimens of BCD, PAD and VDD for newly diagnosed multiple myeloma</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an analysis of 400 cases in a single center of China. Clin. Lymphoma Myeloma Leuk. 21(Suppl. 1), S131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S132 (2021).</w:t>
      </w:r>
    </w:p>
    <w:p w14:paraId="40991978" w14:textId="6B2F8549"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Deng 2022</w:t>
      </w:r>
      <w:r w:rsidRPr="008E1CAD">
        <w:rPr>
          <w:rFonts w:ascii="Times New Roman" w:hAnsi="Times New Roman" w:cs="Times New Roman"/>
          <w:sz w:val="18"/>
          <w:szCs w:val="18"/>
        </w:rPr>
        <w:tab/>
        <w:t>Deng SH, Xu Y, Sui WW et al. Clinical study of 131 cases of newly diagnosed multiple myeloma treated with bortezomib, cyclophosphamide and dexamethasone as induction therapy. Chin. J. Clin. Oncol. 49(20), 1067</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1072 (2022) [Chinese].</w:t>
      </w:r>
    </w:p>
    <w:p w14:paraId="7075CC09" w14:textId="73CB23B3"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Facon 2021</w:t>
      </w:r>
      <w:r w:rsidRPr="008E1CAD">
        <w:rPr>
          <w:rFonts w:ascii="Times New Roman" w:hAnsi="Times New Roman" w:cs="Times New Roman"/>
          <w:sz w:val="18"/>
          <w:szCs w:val="18"/>
        </w:rPr>
        <w:tab/>
        <w:t>Facon T, Kumar SK, Plesner T et al. Daratumumab, lenalidomide, and dexamethasone versus lenalidomide and dexamethasone alone in newly diagnosed multiple myeloma (MAIA): overall survival results from a randomised, open-label, phase 3 trial. Lancet Oncol. 22(11), 1582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1596 (2021).</w:t>
      </w:r>
    </w:p>
    <w:p w14:paraId="0703A789" w14:textId="610CB86D"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Gordan 2024</w:t>
      </w:r>
      <w:r w:rsidRPr="008E1CAD">
        <w:rPr>
          <w:rFonts w:ascii="Times New Roman" w:hAnsi="Times New Roman" w:cs="Times New Roman"/>
          <w:sz w:val="18"/>
          <w:szCs w:val="18"/>
        </w:rPr>
        <w:tab/>
        <w:t>Gordan LN, Tan CR, Vescio R et al. Progression-free survival of daratumumab versus bortezomib triplet combination with lenalidomide and dexamethasone in transplant ineligible patients with newly diagnosed multiple myeloma: TAURUS chart review study. Clin. Lymphoma Myeloma Leuk. 24(1), 55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63 (2024).</w:t>
      </w:r>
    </w:p>
    <w:p w14:paraId="31AC5537" w14:textId="3B338854"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Gu 2019</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Gu JL, Li J, Liu JR et al. Comparison of high-dose melphalan versus cyclophosphamide, etoposide and busulfan conditioning regimens in autologous hematopoietic stem cell transplantation for multiple myeloma. Chin. J. Hematol. 40(9), 732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737 (2019) [Chinese].</w:t>
      </w:r>
    </w:p>
    <w:p w14:paraId="387AAB88" w14:textId="58A08ECE"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Han 2019</w:t>
      </w:r>
      <w:r w:rsidRPr="008E1CAD">
        <w:rPr>
          <w:rFonts w:ascii="Times New Roman" w:hAnsi="Times New Roman" w:cs="Times New Roman"/>
          <w:sz w:val="18"/>
          <w:szCs w:val="18"/>
        </w:rPr>
        <w:tab/>
      </w:r>
      <w:r w:rsidR="00B77249" w:rsidRPr="008E1CAD">
        <w:rPr>
          <w:rFonts w:ascii="Times New Roman" w:hAnsi="Times New Roman" w:cs="Times New Roman"/>
          <w:sz w:val="18"/>
          <w:szCs w:val="18"/>
        </w:rPr>
        <w:tab/>
      </w:r>
      <w:r w:rsidRPr="008E1CAD">
        <w:rPr>
          <w:rFonts w:ascii="Times New Roman" w:hAnsi="Times New Roman" w:cs="Times New Roman"/>
          <w:sz w:val="18"/>
          <w:szCs w:val="18"/>
        </w:rPr>
        <w:t>Han N, Li YH, Gao Y et al. Bortezomib combined with cyclophosphamide and dexamethasone regimen in the treatment of multiple myeloma. J. Pract. Med. 35(3), 440</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444 (2019) [Chinese].</w:t>
      </w:r>
    </w:p>
    <w:p w14:paraId="621DF8B2" w14:textId="5F6C4BB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Han 2023</w:t>
      </w:r>
      <w:r w:rsidRPr="008E1CAD">
        <w:rPr>
          <w:rFonts w:ascii="Times New Roman" w:hAnsi="Times New Roman" w:cs="Times New Roman"/>
          <w:sz w:val="18"/>
          <w:szCs w:val="18"/>
        </w:rPr>
        <w:tab/>
      </w:r>
      <w:r w:rsidR="00B77249" w:rsidRPr="008E1CAD">
        <w:rPr>
          <w:rFonts w:ascii="Times New Roman" w:hAnsi="Times New Roman" w:cs="Times New Roman"/>
          <w:sz w:val="18"/>
          <w:szCs w:val="18"/>
        </w:rPr>
        <w:tab/>
      </w:r>
      <w:r w:rsidRPr="008E1CAD">
        <w:rPr>
          <w:rFonts w:ascii="Times New Roman" w:hAnsi="Times New Roman" w:cs="Times New Roman"/>
          <w:sz w:val="18"/>
          <w:szCs w:val="18"/>
        </w:rPr>
        <w:t>Han X, Jiang X, He J et al. Real-world clinical outcomes of pomalidomide-based and daratumumab-based therapies in patients with relapsed/refractory multiple myeloma: a single-center retrospective cohort study. Blood 142(Suppl. 1), 6639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6639 (2023).</w:t>
      </w:r>
    </w:p>
    <w:p w14:paraId="0A723058" w14:textId="229355F2"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Han 2024</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
        <w:t>Han X, Jiang X, He J et al. Clinical outcomes of pomalidomide‐based and daratumumab‐based therapies in patients with relapsed/refractory multiple myeloma: a real‐world cohort study in China. Cancer Med. 13(9), e7232 (2024).</w:t>
      </w:r>
    </w:p>
    <w:p w14:paraId="1F966853" w14:textId="63DF9684"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Hansen 2023</w:t>
      </w:r>
      <w:r w:rsidRPr="008E1CAD">
        <w:rPr>
          <w:rFonts w:ascii="Times New Roman" w:hAnsi="Times New Roman" w:cs="Times New Roman"/>
          <w:sz w:val="18"/>
          <w:szCs w:val="18"/>
        </w:rPr>
        <w:tab/>
        <w:t>Hansen DK, Gautam S, Lafeuille MH et al. Comparison of time to next treatment or death between front-line daratumumab, lenalidomide, and dexamethasone (DRd) and bortezomib, lenalidomide, and dexamethasone (VRd) in transplant ineligible patients with multiple myeloma. Blood 142(Suppl. 1), 543</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543 (2023).</w:t>
      </w:r>
    </w:p>
    <w:p w14:paraId="22B550A4" w14:textId="6CBEBE71"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Horigome 2024</w:t>
      </w:r>
      <w:r>
        <w:rPr>
          <w:rFonts w:ascii="Times New Roman" w:hAnsi="Times New Roman" w:cs="Times New Roman"/>
          <w:sz w:val="18"/>
          <w:szCs w:val="18"/>
        </w:rPr>
        <w:tab/>
      </w:r>
      <w:r w:rsidRPr="002F132A">
        <w:rPr>
          <w:rFonts w:ascii="Times New Roman" w:hAnsi="Times New Roman" w:cs="Times New Roman"/>
          <w:sz w:val="18"/>
          <w:szCs w:val="18"/>
        </w:rPr>
        <w:t>Horigome Y, Iino M, Harazaki Y, et al. A prospective, multicenter, observational study of ixazomib plus lenalidomide-dexamethasone in patients with relapsed/refractory multiple myeloma in Japan[J]. Annals of Hematology, 2024, 103(2): 475-488.</w:t>
      </w:r>
    </w:p>
    <w:p w14:paraId="21EA6809" w14:textId="36670733"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Huo 2023</w:t>
      </w:r>
      <w:r w:rsidRPr="008E1CAD">
        <w:rPr>
          <w:rFonts w:ascii="Times New Roman" w:hAnsi="Times New Roman" w:cs="Times New Roman"/>
          <w:sz w:val="18"/>
          <w:szCs w:val="18"/>
        </w:rPr>
        <w:tab/>
        <w:t>Huo Z, Chen F, Liu P et al. Ixazomib combined with lenalidomide and dexamethasone chemotherapy for newly diagnosed multiple myeloma in China—Compared with bortezomib/lenalidomide/dexamethasone. Cancer Med. 12(3), 2937</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2944 (2023).</w:t>
      </w:r>
    </w:p>
    <w:p w14:paraId="51A23E39" w14:textId="7777777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Hung 2021</w:t>
      </w:r>
      <w:r w:rsidRPr="008E1CAD">
        <w:rPr>
          <w:rFonts w:ascii="Times New Roman" w:hAnsi="Times New Roman" w:cs="Times New Roman"/>
          <w:sz w:val="18"/>
          <w:szCs w:val="18"/>
        </w:rPr>
        <w:tab/>
        <w:t>Hung YC, Gau JP, Huang SY et al. Pomalidomide and dexamethasone are effective in relapsed or refractory multiple myeloma in a real-life setting: a multicenter retrospective study in Taiwan. Front. Oncol. 11, 695410 (2021).</w:t>
      </w:r>
    </w:p>
    <w:p w14:paraId="4371714E" w14:textId="38A22F0F"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Iriuchishima 2024</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Iriuchishima H, Saito A, Mihara M et al. Efficacy of daratumumab in newly diagnosed multiple myeloma patients with 1q21 gain. Int. J. Hematol. 119(6), 712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720 (2024).</w:t>
      </w:r>
    </w:p>
    <w:p w14:paraId="194EFE2A" w14:textId="72F76ED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Jeon 2019</w:t>
      </w:r>
      <w:r w:rsidRPr="008E1CAD">
        <w:rPr>
          <w:rFonts w:ascii="Times New Roman" w:hAnsi="Times New Roman" w:cs="Times New Roman"/>
          <w:sz w:val="18"/>
          <w:szCs w:val="18"/>
        </w:rPr>
        <w:tab/>
        <w:t>Jeon MJ, Yu ES, Kang KW et al. The efficacy and safety profiles of carfilzomib based therapy in real world practice for patients with relapsed or refractory multiple myeloma. Clin. Lymphoma Myeloma Leuk. 19(10), e260</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e261 (2019).</w:t>
      </w:r>
    </w:p>
    <w:p w14:paraId="74ADB935" w14:textId="5C736959"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Ji R 2019</w:t>
      </w:r>
      <w:r w:rsidR="00B77249" w:rsidRPr="008E1CAD">
        <w:rPr>
          <w:rFonts w:ascii="Times New Roman" w:hAnsi="Times New Roman" w:cs="Times New Roman"/>
          <w:sz w:val="18"/>
          <w:szCs w:val="18"/>
        </w:rPr>
        <w:tab/>
      </w:r>
      <w:r w:rsidR="00B77249" w:rsidRPr="008E1CAD">
        <w:rPr>
          <w:rFonts w:ascii="Times New Roman" w:hAnsi="Times New Roman" w:cs="Times New Roman"/>
          <w:sz w:val="18"/>
          <w:szCs w:val="18"/>
        </w:rPr>
        <w:tab/>
      </w:r>
      <w:r w:rsidRPr="008E1CAD">
        <w:rPr>
          <w:rFonts w:ascii="Times New Roman" w:hAnsi="Times New Roman" w:cs="Times New Roman"/>
          <w:sz w:val="18"/>
          <w:szCs w:val="18"/>
        </w:rPr>
        <w:t>Ji R, Miao JQ, Sun YH et al. Comparative observation of PAD regimen and autologous hematopoietic stem cell transplantation for consolidation therapy in newly diagnosed multiple myeloma. Shandong Med. 59(24), 66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68 (2019) [Chinese].</w:t>
      </w:r>
    </w:p>
    <w:p w14:paraId="7280E7FD" w14:textId="7A9F7638"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Jia 2019</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Jia J, Liu AJ, Chen WM et al. Study on the depth of response of RVD regimen in newly diagnosed multiple myeloma patients. Chin. J. Clin. Oncol. 46(14), 734</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738 (2019) [Chinese].</w:t>
      </w:r>
    </w:p>
    <w:p w14:paraId="1C58039C" w14:textId="6C184B6F"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Jia 2020</w:t>
      </w:r>
      <w:r>
        <w:rPr>
          <w:rFonts w:ascii="Times New Roman" w:hAnsi="Times New Roman" w:cs="Times New Roman"/>
          <w:sz w:val="18"/>
          <w:szCs w:val="18"/>
        </w:rPr>
        <w:tab/>
      </w:r>
      <w:r w:rsidRPr="002F132A">
        <w:rPr>
          <w:rFonts w:ascii="Times New Roman" w:hAnsi="Times New Roman" w:cs="Times New Roman"/>
          <w:sz w:val="18"/>
          <w:szCs w:val="18"/>
        </w:rPr>
        <w:t>Jia YJ, Liu H, Wang LR et al. Application of daratumumab in patients with relapsed/refractory multiple myeloma. Chin. J. Intern. Med. 59(5), 347-352 (2020) [Chinese].</w:t>
      </w:r>
    </w:p>
    <w:p w14:paraId="75CA6E2E" w14:textId="2A27C593"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Jo 2020</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Jo JC, Lee HS, Kim K et al. The effectiveness and safety of lenalidomide and dexamethasone in patients with relapsed/refractory multiple myeloma in real-world clinical practice: a study of the Korean Multiple Myeloma Working Party (KMMWP-151 study). Ann. Hematol. 99(2), 309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319 (2020).</w:t>
      </w:r>
    </w:p>
    <w:p w14:paraId="38771208" w14:textId="0D08AC36"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Kakimoto 2022</w:t>
      </w:r>
      <w:r>
        <w:rPr>
          <w:rFonts w:ascii="Times New Roman" w:hAnsi="Times New Roman" w:cs="Times New Roman"/>
          <w:sz w:val="18"/>
          <w:szCs w:val="18"/>
        </w:rPr>
        <w:tab/>
      </w:r>
      <w:r w:rsidRPr="002F132A">
        <w:rPr>
          <w:rFonts w:ascii="Times New Roman" w:hAnsi="Times New Roman" w:cs="Times New Roman"/>
          <w:sz w:val="18"/>
          <w:szCs w:val="18"/>
        </w:rPr>
        <w:t>Kakimoto Y, Hoshino M, Hashimoto M, et al. Safety profile of ixazomib in patients with relapsed/refractory multiple myeloma in Japan: an all-case post-marketing surveillance[J]. Internal Medicine, 2022, 61(9): 1337-1343.</w:t>
      </w:r>
    </w:p>
    <w:p w14:paraId="634BD8A7" w14:textId="7777777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lastRenderedPageBreak/>
        <w:t>Kawaji‐Kanayama 2022</w:t>
      </w:r>
      <w:r w:rsidRPr="008E1CAD">
        <w:rPr>
          <w:rFonts w:ascii="Times New Roman" w:hAnsi="Times New Roman" w:cs="Times New Roman"/>
          <w:sz w:val="18"/>
          <w:szCs w:val="18"/>
        </w:rPr>
        <w:tab/>
        <w:t>Kawaji‐Kanayama Y, Kobayashi T, Muramatsu A et al. Prognostic impact of resistance to bortezomib and/or lenalidomide in carfilzomib‐based therapies for relapsed/refractory multiple myeloma: the Kyoto Clinical Hematology Study Group, multicenter, pilot, prospective, observational study in Asian patients. Cancer Rep. 5(2), e1476 (2022).</w:t>
      </w:r>
    </w:p>
    <w:p w14:paraId="34C83DA8" w14:textId="61435F73"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Kawasaki 2022</w:t>
      </w:r>
      <w:r w:rsidRPr="008E1CAD">
        <w:rPr>
          <w:rFonts w:ascii="Times New Roman" w:hAnsi="Times New Roman" w:cs="Times New Roman"/>
          <w:sz w:val="18"/>
          <w:szCs w:val="18"/>
        </w:rPr>
        <w:tab/>
        <w:t>Kawasaki A, Murakami H, Chou T et al. Post-marketing surveillance of carfilzomib in Japanese patients with relapsed or refractory multiple myeloma. Future Oncol. 18(24), 2661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2674 (2022).</w:t>
      </w:r>
    </w:p>
    <w:p w14:paraId="6600D13C" w14:textId="10DBD3DA"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Lee 2019</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Lee JH, Kim SH, Lee YJ et al. The comparison of carfilzomib, and dexamethasone versus pomalidomide-based combination chemotherapy after a 2nd-line therapy in relapsed and refractory multiple myeloma patients. Clin. Lymphoma Myeloma Leuk. 19(10), e264</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e265 (2019).</w:t>
      </w:r>
    </w:p>
    <w:p w14:paraId="5187ABFC" w14:textId="2A6E4F3C"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Lee 2021</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Lee JH, Park Y, Kang KW et al. Carfilzomib in addition to lenalidomide and dexamethasone in Asian patients with RRMM outside of a clinical trial. Ann. Hematol. 100(8), 2051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2059 (2021).</w:t>
      </w:r>
    </w:p>
    <w:p w14:paraId="0DDAD1D7" w14:textId="79D1DFE3"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Lee 2023a</w:t>
      </w:r>
      <w:r>
        <w:rPr>
          <w:rFonts w:ascii="Times New Roman" w:hAnsi="Times New Roman" w:cs="Times New Roman"/>
          <w:sz w:val="18"/>
          <w:szCs w:val="18"/>
        </w:rPr>
        <w:tab/>
      </w:r>
      <w:r w:rsidRPr="002F132A">
        <w:rPr>
          <w:rFonts w:ascii="Times New Roman" w:hAnsi="Times New Roman" w:cs="Times New Roman"/>
          <w:sz w:val="18"/>
          <w:szCs w:val="18"/>
        </w:rPr>
        <w:t>Lee J H, Kim S H, Kim H R, et al. Real-world toxicity and effectiveness of ixazomib, lenalidomide, and dexamethasone in Korean patients with relapsed and/or refractory multiple myeloma[J]. International Journal of Hematology, 2023, 117(2): 225-235.</w:t>
      </w:r>
    </w:p>
    <w:p w14:paraId="449630D9" w14:textId="271AB7E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Lee 2023</w:t>
      </w:r>
      <w:r w:rsidR="00791E18">
        <w:rPr>
          <w:rFonts w:ascii="Times New Roman" w:hAnsi="Times New Roman" w:cs="Times New Roman" w:hint="eastAsia"/>
          <w:sz w:val="18"/>
          <w:szCs w:val="18"/>
        </w:rPr>
        <w:t>b</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Lee JH, Min CK, Jo JC et al. Carfilzomib, lenalidomide, and dexamethasone combination chemotherapy in the real-world 364 Asian multiple myeloma patients on behalf of the Korean multiple myeloma working party (KMM2201 study). Clin. Lymphoma Myeloma Leuk. 23(Suppl. 1), S192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S193 (2023).</w:t>
      </w:r>
    </w:p>
    <w:p w14:paraId="42788814" w14:textId="71EC3CA2"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 2018</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Li CS, Ji Y, Zhang WP et al. Clinical efficacy and safety of different doses of dexamethasone combined with bortezomib and thalidomide in the treatment of newly diagnosed multiple myeloma. Chin. J. Exp. Hematol. 26(3), 836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841 (2018) [Chinese].</w:t>
      </w:r>
    </w:p>
    <w:p w14:paraId="6EBA5E7D" w14:textId="1E46F948"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 2023</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Li CC, Zhang WY, Zhang RJ. Observation on the early efficacy of pomalidomide-based regimens in high-risk multiple myeloma. Chin. J. Exp. Hematol. 31(5), 1432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1436 (2023) [Chinese].</w:t>
      </w:r>
    </w:p>
    <w:p w14:paraId="513BE2FE" w14:textId="64848318"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Liu 2018</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Liu Y, Wen L, Wang GM et al. Efficacy impact of different courses of BCD regimen for newly diagnosed multiple myeloma. Chin. J. Clin. Oncol. 45(11), 553</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556 (2018) [Chinese].</w:t>
      </w:r>
    </w:p>
    <w:p w14:paraId="2644A88E" w14:textId="4CD7C87D"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Liu 2021a</w:t>
      </w:r>
      <w:r w:rsidRPr="008E1CAD">
        <w:rPr>
          <w:rFonts w:ascii="Times New Roman" w:hAnsi="Times New Roman" w:cs="Times New Roman"/>
          <w:sz w:val="18"/>
          <w:szCs w:val="18"/>
        </w:rPr>
        <w:tab/>
        <w:t>Liu J, He HY, Li L et al. Efficacy and safety of daratumumab in the treatment of relapsed/refractory multiple myeloma. Chin. J. Hematol. 42(1), 27</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32 (2021) [Chinese].</w:t>
      </w:r>
    </w:p>
    <w:p w14:paraId="18F1F373" w14:textId="0439F579"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Liu 2021b</w:t>
      </w:r>
      <w:r w:rsidRPr="008E1CAD">
        <w:rPr>
          <w:rFonts w:ascii="Times New Roman" w:hAnsi="Times New Roman" w:cs="Times New Roman"/>
          <w:sz w:val="18"/>
          <w:szCs w:val="18"/>
        </w:rPr>
        <w:tab/>
        <w:t>Liu S, Shang J, Lin Y et al. Clinical efficacy and prognostic analysis of patients with double-hit high-risk multiple myeloma. Chin. J. Oncol. 43(11), 1209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1214 (2021) [Chinese].</w:t>
      </w:r>
    </w:p>
    <w:p w14:paraId="6BDEA58D" w14:textId="63DFAA09"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Liu 2022</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Liu YH, Xie YH, Han XY et al. Efficacy of different doses of dexamethasone combined with bortezomib and thalidomide in the treatment of elderly multiple myeloma. J. Pract. Oncol. 37(3), 244</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247 (2022) [Chinese].</w:t>
      </w:r>
    </w:p>
    <w:p w14:paraId="32C09031" w14:textId="6DCA0F3E"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Liu 2024</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Liu A, Yu H, Hou R et al. Assessment of prolonged proteasome inhibition through ixazomib‐based oral regimen on newly diagnosed and first‐relapsed multiple myeloma: a real‐world Chinese cohort study. Cancer Med. 13(9), e7177 (2024).</w:t>
      </w:r>
    </w:p>
    <w:p w14:paraId="61BB7F59" w14:textId="533E3702"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Lu 2023</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Lu J, He HY, Li L et al. Efficacy and safety of pomalidomide in the treatment of relapsed/refractory multiple myeloma. Chin. J. Hematol. 44(1), 75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78 (2023) [Chinese].</w:t>
      </w:r>
    </w:p>
    <w:p w14:paraId="7F42C622" w14:textId="448E6EE8" w:rsidR="00C517C5" w:rsidRPr="008E1CAD" w:rsidRDefault="00C517C5" w:rsidP="00B77249">
      <w:pPr>
        <w:rPr>
          <w:rFonts w:ascii="Times New Roman" w:hAnsi="Times New Roman" w:cs="Times New Roman"/>
          <w:sz w:val="18"/>
          <w:szCs w:val="18"/>
        </w:rPr>
      </w:pPr>
      <w:r>
        <w:rPr>
          <w:rFonts w:ascii="Times New Roman" w:hAnsi="Times New Roman" w:cs="Times New Roman" w:hint="eastAsia"/>
          <w:sz w:val="18"/>
          <w:szCs w:val="18"/>
        </w:rPr>
        <w:t>Page 2021</w:t>
      </w:r>
      <w:r>
        <w:rPr>
          <w:rFonts w:ascii="Times New Roman" w:hAnsi="Times New Roman" w:cs="Times New Roman"/>
          <w:sz w:val="18"/>
          <w:szCs w:val="18"/>
        </w:rPr>
        <w:tab/>
      </w:r>
      <w:r w:rsidRPr="00C517C5">
        <w:rPr>
          <w:rFonts w:ascii="Times New Roman" w:hAnsi="Times New Roman" w:cs="Times New Roman"/>
          <w:sz w:val="18"/>
          <w:szCs w:val="18"/>
        </w:rPr>
        <w:t>Page MJ, McKenzie JE, Bossuyt PM, Boutron I, Hoffmann TC, Mulrow CD, Shamseer L, Tetzlaff JM, Akl EA, Brennan SE, Chou R, Glanville J, Grimshaw JM, Hróbjartsson A, Lalu MM, Li T, Loder EW, Mayo-Wilson E, McDonald S, McGuinness LA, Stewart LA, Thomas J, Tricco AC, Welch VA, Whiting P, Moher D. The PRISMA 2020 statement: an updated guideline for reporting systematic reviews. BMJ. 2021 Mar 29;372:n71.</w:t>
      </w:r>
    </w:p>
    <w:p w14:paraId="4199662E" w14:textId="4ED8EF3B"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Pan 2019</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Pan PJ, Luo ZQ, Zhang ML. Short-term efficacy, survival time and side effects of different chemotherapy regimens in patients with newly diagnosed multiple myeloma. Chin. J. Exp. Hematol. 27(3), 855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859 (2019) [Chinese].</w:t>
      </w:r>
    </w:p>
    <w:p w14:paraId="5A216178" w14:textId="203B8581"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Peng 2022</w:t>
      </w:r>
      <w:r>
        <w:rPr>
          <w:rFonts w:ascii="Times New Roman" w:hAnsi="Times New Roman" w:cs="Times New Roman"/>
          <w:sz w:val="18"/>
          <w:szCs w:val="18"/>
        </w:rPr>
        <w:tab/>
      </w:r>
      <w:r w:rsidRPr="002F132A">
        <w:rPr>
          <w:rFonts w:ascii="Times New Roman" w:hAnsi="Times New Roman" w:cs="Times New Roman"/>
          <w:sz w:val="18"/>
          <w:szCs w:val="18"/>
        </w:rPr>
        <w:t>Peng HY, You WW, Li XQ et al. Effect of class switching among proteasome inhibitors on treatment efficacy and prognosis in patients with newly diagnosed multiple myeloma. Leuk. Lymphoma. 31(9), 533-538 (2022) [Chinese].</w:t>
      </w:r>
    </w:p>
    <w:p w14:paraId="3CEA7BC1" w14:textId="7777777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Rifkin 2023</w:t>
      </w:r>
      <w:r w:rsidRPr="008E1CAD">
        <w:rPr>
          <w:rFonts w:ascii="Times New Roman" w:hAnsi="Times New Roman" w:cs="Times New Roman"/>
          <w:sz w:val="18"/>
          <w:szCs w:val="18"/>
        </w:rPr>
        <w:tab/>
        <w:t>Rifkin RM, Girnius SK, Noga SJ et al. In-class transition (iCT) of proteasome inhibitor-based therapy: a community approach to multiple myeloma management. Blood Cancer J. 13(1), 147 (2023).</w:t>
      </w:r>
    </w:p>
    <w:p w14:paraId="6309C05D" w14:textId="39121D1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Shimura 2023</w:t>
      </w:r>
      <w:r w:rsidRPr="008E1CAD">
        <w:rPr>
          <w:rFonts w:ascii="Times New Roman" w:hAnsi="Times New Roman" w:cs="Times New Roman"/>
          <w:sz w:val="18"/>
          <w:szCs w:val="18"/>
        </w:rPr>
        <w:tab/>
        <w:t>Shimura Y, Shibayama H, Nakaya A et al. Real-world data on induction therapy in patients with transplant-ineligible newly diagnosed multiple myeloma: retrospective analysis of 598 cases from Kansai Myeloma Forum. Int. J. Hematol. 118(5), 609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617 (2023).</w:t>
      </w:r>
    </w:p>
    <w:p w14:paraId="23628DB2" w14:textId="29FE5276"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Siebert 2012</w:t>
      </w:r>
      <w:r w:rsidRPr="008E1CAD">
        <w:rPr>
          <w:rFonts w:ascii="Times New Roman" w:hAnsi="Times New Roman" w:cs="Times New Roman"/>
          <w:sz w:val="18"/>
          <w:szCs w:val="18"/>
        </w:rPr>
        <w:tab/>
        <w:t>Siebert U, Alagoz O, Alamo AM et al. State-transition modeling: a report of the ISPOR-SMDM Modeling Good Research Practices Task Force-3. Value Health 15(6), 812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820 (2012).</w:t>
      </w:r>
    </w:p>
    <w:p w14:paraId="10757098" w14:textId="19800B11"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Sun 2020</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Sun HM, Jiang ZX, Wang WM et al. Efficacy and safety of generic versus reference bortezomib in the treatment of newly diagnosed multiple myeloma. Chin. J. Hematol. 41(3), 261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263 (2020) [Chinese].</w:t>
      </w:r>
    </w:p>
    <w:p w14:paraId="6D8423E2" w14:textId="32DC189F"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Sunami 2020</w:t>
      </w:r>
      <w:r w:rsidRPr="008E1CAD">
        <w:rPr>
          <w:rFonts w:ascii="Times New Roman" w:hAnsi="Times New Roman" w:cs="Times New Roman"/>
          <w:sz w:val="18"/>
          <w:szCs w:val="18"/>
        </w:rPr>
        <w:tab/>
        <w:t>Sunami K, Murakami H, Tagashira H et al. Daratumumab therapy for relapsed or refractory multiple myeloma: a single-center retrospective study. Int. J. Clin. Oncol. 25(12), 2151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2157 (2020).</w:t>
      </w:r>
    </w:p>
    <w:p w14:paraId="13F50DC3" w14:textId="7777777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Suzuki 2018</w:t>
      </w:r>
      <w:r w:rsidRPr="008E1CAD">
        <w:rPr>
          <w:rFonts w:ascii="Times New Roman" w:hAnsi="Times New Roman" w:cs="Times New Roman"/>
          <w:sz w:val="18"/>
          <w:szCs w:val="18"/>
        </w:rPr>
        <w:tab/>
        <w:t>Suzuki K, Dimopoulos MA, Takezako N et al. Daratumumab, lenalidomide, and dexamethasone in East Asian patients with relapsed or refractory multiple myeloma: subgroup analyses of the phase 3 POLLUX study. Blood Cancer J. 8(4), 41 (2018).</w:t>
      </w:r>
    </w:p>
    <w:p w14:paraId="7EEB2899" w14:textId="3ABA788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Tai 2021</w:t>
      </w:r>
      <w:r w:rsidRPr="008E1CAD">
        <w:rPr>
          <w:rFonts w:ascii="Times New Roman" w:hAnsi="Times New Roman" w:cs="Times New Roman"/>
          <w:sz w:val="18"/>
          <w:szCs w:val="18"/>
        </w:rPr>
        <w:tab/>
        <w:t>Tai MH, Cai Q, Fu AZ et al. Real-world patient characteristics and treatment outcomes among newly diagnosed multiple myeloma patients initiating daratumumab, lenalidomide, and dexamethasone as first-line therapy. Blood 138(Suppl. 1), 1979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1979 (2021).</w:t>
      </w:r>
    </w:p>
    <w:p w14:paraId="6964FCC2" w14:textId="06B0727D"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Tang 2023</w:t>
      </w:r>
      <w:r w:rsidRPr="008E1CAD">
        <w:rPr>
          <w:rFonts w:ascii="Times New Roman" w:hAnsi="Times New Roman" w:cs="Times New Roman"/>
          <w:sz w:val="18"/>
          <w:szCs w:val="18"/>
        </w:rPr>
        <w:tab/>
        <w:t>Tang W, Li Y, Zou Z et al. A stratified therapeutic model incorporated with studies on regulatory B cells for elderly patients with newly diagnosed multiple myeloma. Cancer Med. 12(3), 3054</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3067 (2023).</w:t>
      </w:r>
    </w:p>
    <w:p w14:paraId="0988755D" w14:textId="30CFA317"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lastRenderedPageBreak/>
        <w:t>van de Wetering 2022</w:t>
      </w:r>
      <w:r w:rsidRPr="008E1CAD">
        <w:rPr>
          <w:rFonts w:ascii="Times New Roman" w:hAnsi="Times New Roman" w:cs="Times New Roman"/>
          <w:sz w:val="18"/>
          <w:szCs w:val="18"/>
        </w:rPr>
        <w:tab/>
        <w:t>van de Wetering G, Ignacio T, Dhanda D et al. Modification of treatment-sequence model with a customizable number of treatments to better reflect contemporary and future clinical practice in moderate to severe psoriasis. J. Med. Econ. 25(1), 421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427 (2022).</w:t>
      </w:r>
    </w:p>
    <w:p w14:paraId="6BB1E492" w14:textId="13250F30"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Wang 2021</w:t>
      </w:r>
      <w:r w:rsidRPr="008E1CAD">
        <w:rPr>
          <w:rFonts w:ascii="Times New Roman" w:hAnsi="Times New Roman" w:cs="Times New Roman"/>
          <w:sz w:val="18"/>
          <w:szCs w:val="18"/>
        </w:rPr>
        <w:tab/>
        <w:t>Wang HJ, Yang GZ, Jian Y et al. Efficacy analysis of VRD versus VCD regimen induction therapy followed by autologous hematopoietic stem cell transplantation for newly diagnosed multiple myeloma patients. J. Capital Med. Univ. 42(4), 615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622 (2021) [Chinese].</w:t>
      </w:r>
    </w:p>
    <w:p w14:paraId="248C78D2" w14:textId="7D531C4F"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Wang 2022</w:t>
      </w:r>
      <w:r w:rsidRPr="008E1CAD">
        <w:rPr>
          <w:rFonts w:ascii="Times New Roman" w:hAnsi="Times New Roman" w:cs="Times New Roman"/>
          <w:sz w:val="18"/>
          <w:szCs w:val="18"/>
        </w:rPr>
        <w:tab/>
        <w:t>Wang WX, Bi JY, Wen L et al. Retrospective analysis of 100 consecutive single-center cases of lenalidomide combined with bortezomib and dexamethasone in newly diagnosed multiple myeloma. Chin. J. Intern. Med. 61(5), 531</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536 (2022) [Chinese].</w:t>
      </w:r>
    </w:p>
    <w:p w14:paraId="7AE100B0" w14:textId="6B5370D6"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Wang 2023</w:t>
      </w:r>
      <w:r w:rsidR="00791E18">
        <w:rPr>
          <w:rFonts w:ascii="Times New Roman" w:hAnsi="Times New Roman" w:cs="Times New Roman" w:hint="eastAsia"/>
          <w:sz w:val="18"/>
          <w:szCs w:val="18"/>
        </w:rPr>
        <w:t>a</w:t>
      </w:r>
      <w:r w:rsidRPr="008E1CAD">
        <w:rPr>
          <w:rFonts w:ascii="Times New Roman" w:hAnsi="Times New Roman" w:cs="Times New Roman"/>
          <w:sz w:val="18"/>
          <w:szCs w:val="18"/>
        </w:rPr>
        <w:tab/>
        <w:t>Wang J, Xu H, Chu XA et al. Efficacy and safety of bortezomib, pomalidomide, and dexamethasone regimen in the treatment of relapsed/refractory multiple myeloma. Chin. J. Hematol. 44(7), 602</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605 (2023) [Chinese].</w:t>
      </w:r>
    </w:p>
    <w:p w14:paraId="47C39C96" w14:textId="2A4E5514"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Wang 2023b</w:t>
      </w:r>
      <w:r>
        <w:rPr>
          <w:rFonts w:ascii="Times New Roman" w:hAnsi="Times New Roman" w:cs="Times New Roman"/>
          <w:sz w:val="18"/>
          <w:szCs w:val="18"/>
        </w:rPr>
        <w:tab/>
      </w:r>
      <w:r w:rsidRPr="002F132A">
        <w:rPr>
          <w:rFonts w:ascii="Times New Roman" w:hAnsi="Times New Roman" w:cs="Times New Roman"/>
          <w:sz w:val="18"/>
          <w:szCs w:val="18"/>
        </w:rPr>
        <w:t>Wang L, Yang W, Wang Y, et al. Real-World Analysis of Treatment Patterns and the Effectiveness and Safety Profile of Daratumumab-Based Regimens in Chinese Patients with Newly Diagnosed or Relapsed/Refractory Multiple Myeloma[J]. Blood, 2023, 142: 6635.</w:t>
      </w:r>
    </w:p>
    <w:p w14:paraId="65101BDD" w14:textId="1E40BB86"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Xu 2022a</w:t>
      </w:r>
      <w:r w:rsidR="00B77249" w:rsidRPr="008E1CAD">
        <w:rPr>
          <w:rFonts w:ascii="Times New Roman" w:hAnsi="Times New Roman" w:cs="Times New Roman"/>
          <w:sz w:val="18"/>
          <w:szCs w:val="18"/>
        </w:rPr>
        <w:t xml:space="preserve"> </w:t>
      </w:r>
      <w:r w:rsidRPr="008E1CAD">
        <w:rPr>
          <w:rFonts w:ascii="Times New Roman" w:hAnsi="Times New Roman" w:cs="Times New Roman"/>
          <w:sz w:val="18"/>
          <w:szCs w:val="18"/>
        </w:rPr>
        <w:tab/>
        <w:t>Xu JY, Yan WQ, Fan HS et al. Efficacy and prognosis analysis of bortezomib combined with lenalidomide and dexamethasone regimen for patients with newly diagnosed multiple myeloma. Natl. Med. J. China 102(30), 2338</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2344 (2022) [Chinese].</w:t>
      </w:r>
    </w:p>
    <w:p w14:paraId="34DD521C" w14:textId="45A9FF1C"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Xu 2022b</w:t>
      </w:r>
      <w:r w:rsidRPr="008E1CAD">
        <w:rPr>
          <w:rFonts w:ascii="Times New Roman" w:hAnsi="Times New Roman" w:cs="Times New Roman"/>
          <w:sz w:val="18"/>
          <w:szCs w:val="18"/>
        </w:rPr>
        <w:tab/>
      </w:r>
      <w:r w:rsidR="00B77249" w:rsidRPr="008E1CAD">
        <w:rPr>
          <w:rFonts w:ascii="Times New Roman" w:hAnsi="Times New Roman" w:cs="Times New Roman"/>
          <w:sz w:val="18"/>
          <w:szCs w:val="18"/>
        </w:rPr>
        <w:tab/>
      </w:r>
      <w:r w:rsidRPr="008E1CAD">
        <w:rPr>
          <w:rFonts w:ascii="Times New Roman" w:hAnsi="Times New Roman" w:cs="Times New Roman"/>
          <w:sz w:val="18"/>
          <w:szCs w:val="18"/>
        </w:rPr>
        <w:t>Xu JY, Yan WQ, Fan HS et al. PB2005: Bortezomib, lenalidomide and dexamethasone in newly diagnosed multiple myeloma patients: a real-world study of China. HemaSphere 6, 1876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1877 (2022).</w:t>
      </w:r>
    </w:p>
    <w:p w14:paraId="0D366430" w14:textId="25ACA14D"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Yan 2023</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
        <w:t>Yan S, Jin S, Wang PF et al. Efficacy and safety of VRD regimen sequential autologous hematopoietic stem cell transplantation for newly diagnosed multiple myeloma patients. Chin. J. Intern. Med. 62(7), 819</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825 (2023) [Chinese].</w:t>
      </w:r>
    </w:p>
    <w:p w14:paraId="09C44F6F" w14:textId="6AB4CF6D"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Yao 2022</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
        <w:t>Yao WQ, Yan LZ, Shang JJ et al. Efficacy and safety of lenalidomide combined with bortezomib and dexamethasone induction therapy for newly diagnosed multiple myeloma patients. Chin. J. Hematol. 43(8), 657</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662 (2022) [Chinese].</w:t>
      </w:r>
    </w:p>
    <w:p w14:paraId="57DB49AE" w14:textId="63250921"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Yang 2021</w:t>
      </w:r>
      <w:r w:rsidR="00791E18">
        <w:rPr>
          <w:rFonts w:ascii="Times New Roman" w:hAnsi="Times New Roman" w:cs="Times New Roman" w:hint="eastAsia"/>
          <w:sz w:val="18"/>
          <w:szCs w:val="18"/>
        </w:rPr>
        <w:t>a</w:t>
      </w:r>
      <w:r w:rsidRPr="008E1CAD">
        <w:rPr>
          <w:rFonts w:ascii="Times New Roman" w:hAnsi="Times New Roman" w:cs="Times New Roman"/>
          <w:sz w:val="18"/>
          <w:szCs w:val="18"/>
        </w:rPr>
        <w:tab/>
        <w:t>Yang N, Liu J, Xiao F et al. Efficacy and cost-effectiveness analysis of single-center PAD, PCD and RVD regimens for newly diagnosed multiple myeloma. Tumor 41(3), 186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196 (2021) [Chinese].</w:t>
      </w:r>
    </w:p>
    <w:p w14:paraId="16ADCB23" w14:textId="1A9FFC10"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Yang 2021b</w:t>
      </w:r>
      <w:r>
        <w:rPr>
          <w:rFonts w:ascii="Times New Roman" w:hAnsi="Times New Roman" w:cs="Times New Roman"/>
          <w:sz w:val="18"/>
          <w:szCs w:val="18"/>
        </w:rPr>
        <w:tab/>
      </w:r>
      <w:r w:rsidRPr="002F132A">
        <w:rPr>
          <w:rFonts w:ascii="Times New Roman" w:hAnsi="Times New Roman" w:cs="Times New Roman"/>
          <w:sz w:val="18"/>
          <w:szCs w:val="18"/>
        </w:rPr>
        <w:t>Yang Y, Xia ZJ, Zhang WH et al. Efficacy and safety of ixazomib, lenalidomide, and dexamethasone in patients with relapsed/refractory multiple myeloma: a multicenter real-world study in China. Chin. J. Hematol. 42(8), 628-634 (2021) [Chinese].</w:t>
      </w:r>
    </w:p>
    <w:p w14:paraId="198B8AB4" w14:textId="777D49A5"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Yoroidaka 2023</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Yoroidaka T, Yamashita T, Murata R et al. Measurable residual disease assessment using next-generation flow in patients with relapsed and refractory multiple myeloma treated with a combination of carfilzomib, lenalidomide, and dexamethasone. Anticancer Res. 43(1), 157</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165 (2023).</w:t>
      </w:r>
    </w:p>
    <w:p w14:paraId="678515D1" w14:textId="1C7F3781" w:rsidR="00BC77CA"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You 2022</w:t>
      </w:r>
      <w:r w:rsidR="00B77249" w:rsidRPr="008E1CAD">
        <w:rPr>
          <w:rFonts w:ascii="Times New Roman" w:hAnsi="Times New Roman" w:cs="Times New Roman"/>
          <w:sz w:val="18"/>
          <w:szCs w:val="18"/>
        </w:rPr>
        <w:tab/>
      </w:r>
      <w:r w:rsidRPr="008E1CAD">
        <w:rPr>
          <w:rFonts w:ascii="Times New Roman" w:hAnsi="Times New Roman" w:cs="Times New Roman"/>
          <w:sz w:val="18"/>
          <w:szCs w:val="18"/>
        </w:rPr>
        <w:tab/>
        <w:t>You H, Jin S, Wu C et al. The independent adverse prognostic significance of 1q21 gain/amplification in newly diagnosed multiple myeloma patients. Blood 140(Suppl. 1), 10056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10057 (2022).</w:t>
      </w:r>
    </w:p>
    <w:p w14:paraId="5E1389D5" w14:textId="5B75A0F9" w:rsidR="002F132A"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Yu 2024</w:t>
      </w:r>
      <w:r>
        <w:rPr>
          <w:rFonts w:ascii="Times New Roman" w:hAnsi="Times New Roman" w:cs="Times New Roman"/>
          <w:sz w:val="18"/>
          <w:szCs w:val="18"/>
        </w:rPr>
        <w:tab/>
      </w:r>
      <w:r w:rsidRPr="002F132A">
        <w:rPr>
          <w:rFonts w:ascii="Times New Roman" w:hAnsi="Times New Roman" w:cs="Times New Roman"/>
          <w:sz w:val="18"/>
          <w:szCs w:val="18"/>
        </w:rPr>
        <w:t>Yu QR, Zhou X, Wu HY et al. Efficacy and safety of daratumumab-containing regimens in patients with relapsed/refractory multiple myeloma. Natl. Med. J. China. 104(7), 521-525 (2024) [Chinese].</w:t>
      </w:r>
    </w:p>
    <w:p w14:paraId="6C783FE2" w14:textId="531ECCCA" w:rsidR="002F132A" w:rsidRPr="008E1CAD" w:rsidRDefault="002F132A" w:rsidP="00B77249">
      <w:pPr>
        <w:rPr>
          <w:rFonts w:ascii="Times New Roman" w:hAnsi="Times New Roman" w:cs="Times New Roman"/>
          <w:sz w:val="18"/>
          <w:szCs w:val="18"/>
        </w:rPr>
      </w:pPr>
      <w:r w:rsidRPr="002F132A">
        <w:rPr>
          <w:rFonts w:ascii="Times New Roman" w:hAnsi="Times New Roman" w:cs="Times New Roman"/>
          <w:sz w:val="18"/>
          <w:szCs w:val="18"/>
        </w:rPr>
        <w:t>Zhao 2022</w:t>
      </w:r>
      <w:r>
        <w:rPr>
          <w:rFonts w:ascii="Times New Roman" w:hAnsi="Times New Roman" w:cs="Times New Roman"/>
          <w:sz w:val="18"/>
          <w:szCs w:val="18"/>
        </w:rPr>
        <w:tab/>
      </w:r>
      <w:r w:rsidRPr="002F132A">
        <w:rPr>
          <w:rFonts w:ascii="Times New Roman" w:hAnsi="Times New Roman" w:cs="Times New Roman"/>
          <w:sz w:val="18"/>
          <w:szCs w:val="18"/>
        </w:rPr>
        <w:t>Zhao AL, Tang WJ, Li Y et al. Efficacy and safety of daratumumab in patients with relapsed/refractory multiple myeloma. Natl. Med. J. China. 102(41), 3304-3311 (2022) [Chinese].</w:t>
      </w:r>
    </w:p>
    <w:p w14:paraId="3D4B3938" w14:textId="6BE968D5" w:rsidR="00BC77CA"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Zheng 2019</w:t>
      </w:r>
      <w:r w:rsidRPr="008E1CAD">
        <w:rPr>
          <w:rFonts w:ascii="Times New Roman" w:hAnsi="Times New Roman" w:cs="Times New Roman"/>
          <w:sz w:val="18"/>
          <w:szCs w:val="18"/>
        </w:rPr>
        <w:tab/>
        <w:t>Zheng L, Chen G, Li LB. Comparison of efficacy between BD and BAD chemotherapy regimens in the treatment of multiple myeloma. J. Zhengzhou Univ. (Med. Sci.) 54(3), 435</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438 (2019) [Chinese].</w:t>
      </w:r>
    </w:p>
    <w:p w14:paraId="03782B70" w14:textId="46DD49D8" w:rsidR="0003659E" w:rsidRPr="008E1CAD" w:rsidRDefault="00BC77CA" w:rsidP="00B77249">
      <w:pPr>
        <w:rPr>
          <w:rFonts w:ascii="Times New Roman" w:hAnsi="Times New Roman" w:cs="Times New Roman"/>
          <w:sz w:val="18"/>
          <w:szCs w:val="18"/>
        </w:rPr>
      </w:pPr>
      <w:r w:rsidRPr="008E1CAD">
        <w:rPr>
          <w:rFonts w:ascii="Times New Roman" w:hAnsi="Times New Roman" w:cs="Times New Roman"/>
          <w:sz w:val="18"/>
          <w:szCs w:val="18"/>
        </w:rPr>
        <w:t>Zhou 2019</w:t>
      </w:r>
      <w:r w:rsidRPr="008E1CAD">
        <w:rPr>
          <w:rFonts w:ascii="Times New Roman" w:hAnsi="Times New Roman" w:cs="Times New Roman"/>
          <w:sz w:val="18"/>
          <w:szCs w:val="18"/>
        </w:rPr>
        <w:tab/>
        <w:t>Zhou Y, Hong P, Zhong YG et al. Comparison of efficacy and infection rate between PCD regimen and VAD regimen in the treatment of multiple myeloma. Chin. J. Nosocomiol. 29(6), 856</w:t>
      </w:r>
      <w:r w:rsidR="002374D8" w:rsidRPr="008E1CAD">
        <w:rPr>
          <w:rFonts w:ascii="Times New Roman" w:hAnsi="Times New Roman" w:cs="Times New Roman"/>
          <w:sz w:val="18"/>
          <w:szCs w:val="18"/>
        </w:rPr>
        <w:t>-</w:t>
      </w:r>
      <w:r w:rsidRPr="008E1CAD">
        <w:rPr>
          <w:rFonts w:ascii="Times New Roman" w:hAnsi="Times New Roman" w:cs="Times New Roman"/>
          <w:sz w:val="18"/>
          <w:szCs w:val="18"/>
        </w:rPr>
        <w:t>859 (2019) [Chinese].</w:t>
      </w:r>
    </w:p>
    <w:sectPr w:rsidR="0003659E" w:rsidRPr="008E1CAD" w:rsidSect="00034616">
      <w:footerReference w:type="even" r:id="rId13"/>
      <w:footerReference w:type="default" r:id="rId14"/>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4B8636" w14:textId="77777777" w:rsidR="00A97DA4" w:rsidRDefault="00A97DA4" w:rsidP="00FB7897">
      <w:r>
        <w:separator/>
      </w:r>
    </w:p>
  </w:endnote>
  <w:endnote w:type="continuationSeparator" w:id="0">
    <w:p w14:paraId="1D26AA4C" w14:textId="77777777" w:rsidR="00A97DA4" w:rsidRDefault="00A97DA4" w:rsidP="00FB7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b"/>
      </w:rPr>
      <w:id w:val="1382985008"/>
      <w:docPartObj>
        <w:docPartGallery w:val="Page Numbers (Bottom of Page)"/>
        <w:docPartUnique/>
      </w:docPartObj>
    </w:sdtPr>
    <w:sdtContent>
      <w:p w14:paraId="31838032" w14:textId="679A6593" w:rsidR="00FB7897" w:rsidRDefault="00FB7897" w:rsidP="00015539">
        <w:pPr>
          <w:pStyle w:val="a7"/>
          <w:framePr w:wrap="none" w:vAnchor="text" w:hAnchor="margin" w:xAlign="right" w:y="1"/>
          <w:rPr>
            <w:rStyle w:val="affb"/>
          </w:rPr>
        </w:pPr>
        <w:r>
          <w:rPr>
            <w:rStyle w:val="affb"/>
          </w:rPr>
          <w:fldChar w:fldCharType="begin"/>
        </w:r>
        <w:r>
          <w:rPr>
            <w:rStyle w:val="affb"/>
          </w:rPr>
          <w:instrText xml:space="preserve"> PAGE </w:instrText>
        </w:r>
        <w:r>
          <w:rPr>
            <w:rStyle w:val="affb"/>
          </w:rPr>
          <w:fldChar w:fldCharType="separate"/>
        </w:r>
        <w:r>
          <w:rPr>
            <w:rStyle w:val="affb"/>
          </w:rPr>
          <w:fldChar w:fldCharType="end"/>
        </w:r>
      </w:p>
    </w:sdtContent>
  </w:sdt>
  <w:p w14:paraId="3F2CB75F" w14:textId="77777777" w:rsidR="00FB7897" w:rsidRDefault="00FB7897" w:rsidP="00AA719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b"/>
      </w:rPr>
      <w:id w:val="1110626880"/>
      <w:docPartObj>
        <w:docPartGallery w:val="Page Numbers (Bottom of Page)"/>
        <w:docPartUnique/>
      </w:docPartObj>
    </w:sdtPr>
    <w:sdtEndPr>
      <w:rPr>
        <w:rStyle w:val="affb"/>
        <w:rFonts w:ascii="Times New Roman" w:hAnsi="Times New Roman" w:cs="Times New Roman"/>
        <w:sz w:val="20"/>
        <w:szCs w:val="20"/>
      </w:rPr>
    </w:sdtEndPr>
    <w:sdtContent>
      <w:p w14:paraId="75903065" w14:textId="2778AD8E" w:rsidR="00FB7897" w:rsidRPr="00AA719D" w:rsidRDefault="00FB7897" w:rsidP="00015539">
        <w:pPr>
          <w:pStyle w:val="a7"/>
          <w:framePr w:wrap="none" w:vAnchor="text" w:hAnchor="margin" w:xAlign="right" w:y="1"/>
          <w:rPr>
            <w:rStyle w:val="affb"/>
            <w:rFonts w:ascii="Times New Roman" w:hAnsi="Times New Roman" w:cs="Times New Roman"/>
            <w:sz w:val="20"/>
            <w:szCs w:val="20"/>
          </w:rPr>
        </w:pPr>
        <w:r w:rsidRPr="00AA719D">
          <w:rPr>
            <w:rStyle w:val="affb"/>
            <w:rFonts w:ascii="Times New Roman" w:hAnsi="Times New Roman" w:cs="Times New Roman"/>
            <w:sz w:val="20"/>
            <w:szCs w:val="20"/>
          </w:rPr>
          <w:fldChar w:fldCharType="begin"/>
        </w:r>
        <w:r w:rsidRPr="00AA719D">
          <w:rPr>
            <w:rStyle w:val="affb"/>
            <w:rFonts w:ascii="Times New Roman" w:hAnsi="Times New Roman" w:cs="Times New Roman"/>
            <w:sz w:val="20"/>
            <w:szCs w:val="20"/>
          </w:rPr>
          <w:instrText xml:space="preserve"> PAGE </w:instrText>
        </w:r>
        <w:r w:rsidRPr="00AA719D">
          <w:rPr>
            <w:rStyle w:val="affb"/>
            <w:rFonts w:ascii="Times New Roman" w:hAnsi="Times New Roman" w:cs="Times New Roman"/>
            <w:sz w:val="20"/>
            <w:szCs w:val="20"/>
          </w:rPr>
          <w:fldChar w:fldCharType="separate"/>
        </w:r>
        <w:r w:rsidRPr="00AA719D">
          <w:rPr>
            <w:rStyle w:val="affb"/>
            <w:rFonts w:ascii="Times New Roman" w:hAnsi="Times New Roman" w:cs="Times New Roman"/>
            <w:noProof/>
            <w:sz w:val="20"/>
            <w:szCs w:val="20"/>
          </w:rPr>
          <w:t>1</w:t>
        </w:r>
        <w:r w:rsidRPr="00AA719D">
          <w:rPr>
            <w:rStyle w:val="affb"/>
            <w:rFonts w:ascii="Times New Roman" w:hAnsi="Times New Roman" w:cs="Times New Roman"/>
            <w:sz w:val="20"/>
            <w:szCs w:val="20"/>
          </w:rPr>
          <w:fldChar w:fldCharType="end"/>
        </w:r>
      </w:p>
    </w:sdtContent>
  </w:sdt>
  <w:p w14:paraId="09F776AB" w14:textId="77777777" w:rsidR="00FB7897" w:rsidRDefault="00FB7897" w:rsidP="00AA719D">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105363" w14:textId="77777777" w:rsidR="00A97DA4" w:rsidRDefault="00A97DA4" w:rsidP="00FB7897">
      <w:r>
        <w:separator/>
      </w:r>
    </w:p>
  </w:footnote>
  <w:footnote w:type="continuationSeparator" w:id="0">
    <w:p w14:paraId="0E518036" w14:textId="77777777" w:rsidR="00A97DA4" w:rsidRDefault="00A97DA4" w:rsidP="00FB78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CFE4352"/>
    <w:multiLevelType w:val="hybridMultilevel"/>
    <w:tmpl w:val="C8C84FF6"/>
    <w:lvl w:ilvl="0" w:tplc="06DEAAD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47513C97"/>
    <w:multiLevelType w:val="hybridMultilevel"/>
    <w:tmpl w:val="3C5278FC"/>
    <w:lvl w:ilvl="0" w:tplc="06DEAAD2">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1" w15:restartNumberingAfterBreak="0">
    <w:nsid w:val="53510614"/>
    <w:multiLevelType w:val="hybridMultilevel"/>
    <w:tmpl w:val="DA8E12E2"/>
    <w:lvl w:ilvl="0" w:tplc="06DEAAD2">
      <w:start w:val="1"/>
      <w:numFmt w:val="bullet"/>
      <w:lvlText w:val=""/>
      <w:lvlJc w:val="left"/>
      <w:pPr>
        <w:ind w:left="473" w:hanging="440"/>
      </w:pPr>
      <w:rPr>
        <w:rFonts w:ascii="Wingdings" w:hAnsi="Wingdings" w:hint="default"/>
      </w:rPr>
    </w:lvl>
    <w:lvl w:ilvl="1" w:tplc="04090003" w:tentative="1">
      <w:start w:val="1"/>
      <w:numFmt w:val="bullet"/>
      <w:lvlText w:val=""/>
      <w:lvlJc w:val="left"/>
      <w:pPr>
        <w:ind w:left="913" w:hanging="440"/>
      </w:pPr>
      <w:rPr>
        <w:rFonts w:ascii="Wingdings" w:hAnsi="Wingdings" w:hint="default"/>
      </w:rPr>
    </w:lvl>
    <w:lvl w:ilvl="2" w:tplc="04090005" w:tentative="1">
      <w:start w:val="1"/>
      <w:numFmt w:val="bullet"/>
      <w:lvlText w:val=""/>
      <w:lvlJc w:val="left"/>
      <w:pPr>
        <w:ind w:left="1353" w:hanging="440"/>
      </w:pPr>
      <w:rPr>
        <w:rFonts w:ascii="Wingdings" w:hAnsi="Wingdings" w:hint="default"/>
      </w:rPr>
    </w:lvl>
    <w:lvl w:ilvl="3" w:tplc="04090001" w:tentative="1">
      <w:start w:val="1"/>
      <w:numFmt w:val="bullet"/>
      <w:lvlText w:val=""/>
      <w:lvlJc w:val="left"/>
      <w:pPr>
        <w:ind w:left="1793" w:hanging="440"/>
      </w:pPr>
      <w:rPr>
        <w:rFonts w:ascii="Wingdings" w:hAnsi="Wingdings" w:hint="default"/>
      </w:rPr>
    </w:lvl>
    <w:lvl w:ilvl="4" w:tplc="04090003" w:tentative="1">
      <w:start w:val="1"/>
      <w:numFmt w:val="bullet"/>
      <w:lvlText w:val=""/>
      <w:lvlJc w:val="left"/>
      <w:pPr>
        <w:ind w:left="2233" w:hanging="440"/>
      </w:pPr>
      <w:rPr>
        <w:rFonts w:ascii="Wingdings" w:hAnsi="Wingdings" w:hint="default"/>
      </w:rPr>
    </w:lvl>
    <w:lvl w:ilvl="5" w:tplc="04090005" w:tentative="1">
      <w:start w:val="1"/>
      <w:numFmt w:val="bullet"/>
      <w:lvlText w:val=""/>
      <w:lvlJc w:val="left"/>
      <w:pPr>
        <w:ind w:left="2673" w:hanging="440"/>
      </w:pPr>
      <w:rPr>
        <w:rFonts w:ascii="Wingdings" w:hAnsi="Wingdings" w:hint="default"/>
      </w:rPr>
    </w:lvl>
    <w:lvl w:ilvl="6" w:tplc="04090001" w:tentative="1">
      <w:start w:val="1"/>
      <w:numFmt w:val="bullet"/>
      <w:lvlText w:val=""/>
      <w:lvlJc w:val="left"/>
      <w:pPr>
        <w:ind w:left="3113" w:hanging="440"/>
      </w:pPr>
      <w:rPr>
        <w:rFonts w:ascii="Wingdings" w:hAnsi="Wingdings" w:hint="default"/>
      </w:rPr>
    </w:lvl>
    <w:lvl w:ilvl="7" w:tplc="04090003" w:tentative="1">
      <w:start w:val="1"/>
      <w:numFmt w:val="bullet"/>
      <w:lvlText w:val=""/>
      <w:lvlJc w:val="left"/>
      <w:pPr>
        <w:ind w:left="3553" w:hanging="440"/>
      </w:pPr>
      <w:rPr>
        <w:rFonts w:ascii="Wingdings" w:hAnsi="Wingdings" w:hint="default"/>
      </w:rPr>
    </w:lvl>
    <w:lvl w:ilvl="8" w:tplc="04090005" w:tentative="1">
      <w:start w:val="1"/>
      <w:numFmt w:val="bullet"/>
      <w:lvlText w:val=""/>
      <w:lvlJc w:val="left"/>
      <w:pPr>
        <w:ind w:left="3993" w:hanging="440"/>
      </w:pPr>
      <w:rPr>
        <w:rFonts w:ascii="Wingdings" w:hAnsi="Wingdings" w:hint="default"/>
      </w:rPr>
    </w:lvl>
  </w:abstractNum>
  <w:abstractNum w:abstractNumId="12" w15:restartNumberingAfterBreak="0">
    <w:nsid w:val="67DD56FB"/>
    <w:multiLevelType w:val="hybridMultilevel"/>
    <w:tmpl w:val="4B36D5C4"/>
    <w:lvl w:ilvl="0" w:tplc="06DEAAD2">
      <w:start w:val="1"/>
      <w:numFmt w:val="bullet"/>
      <w:lvlText w:val=""/>
      <w:lvlJc w:val="left"/>
      <w:pPr>
        <w:ind w:left="473" w:hanging="440"/>
      </w:pPr>
      <w:rPr>
        <w:rFonts w:ascii="Wingdings" w:hAnsi="Wingdings" w:hint="default"/>
      </w:rPr>
    </w:lvl>
    <w:lvl w:ilvl="1" w:tplc="04090003" w:tentative="1">
      <w:start w:val="1"/>
      <w:numFmt w:val="bullet"/>
      <w:lvlText w:val=""/>
      <w:lvlJc w:val="left"/>
      <w:pPr>
        <w:ind w:left="913" w:hanging="440"/>
      </w:pPr>
      <w:rPr>
        <w:rFonts w:ascii="Wingdings" w:hAnsi="Wingdings" w:hint="default"/>
      </w:rPr>
    </w:lvl>
    <w:lvl w:ilvl="2" w:tplc="04090005" w:tentative="1">
      <w:start w:val="1"/>
      <w:numFmt w:val="bullet"/>
      <w:lvlText w:val=""/>
      <w:lvlJc w:val="left"/>
      <w:pPr>
        <w:ind w:left="1353" w:hanging="440"/>
      </w:pPr>
      <w:rPr>
        <w:rFonts w:ascii="Wingdings" w:hAnsi="Wingdings" w:hint="default"/>
      </w:rPr>
    </w:lvl>
    <w:lvl w:ilvl="3" w:tplc="04090001" w:tentative="1">
      <w:start w:val="1"/>
      <w:numFmt w:val="bullet"/>
      <w:lvlText w:val=""/>
      <w:lvlJc w:val="left"/>
      <w:pPr>
        <w:ind w:left="1793" w:hanging="440"/>
      </w:pPr>
      <w:rPr>
        <w:rFonts w:ascii="Wingdings" w:hAnsi="Wingdings" w:hint="default"/>
      </w:rPr>
    </w:lvl>
    <w:lvl w:ilvl="4" w:tplc="04090003" w:tentative="1">
      <w:start w:val="1"/>
      <w:numFmt w:val="bullet"/>
      <w:lvlText w:val=""/>
      <w:lvlJc w:val="left"/>
      <w:pPr>
        <w:ind w:left="2233" w:hanging="440"/>
      </w:pPr>
      <w:rPr>
        <w:rFonts w:ascii="Wingdings" w:hAnsi="Wingdings" w:hint="default"/>
      </w:rPr>
    </w:lvl>
    <w:lvl w:ilvl="5" w:tplc="04090005" w:tentative="1">
      <w:start w:val="1"/>
      <w:numFmt w:val="bullet"/>
      <w:lvlText w:val=""/>
      <w:lvlJc w:val="left"/>
      <w:pPr>
        <w:ind w:left="2673" w:hanging="440"/>
      </w:pPr>
      <w:rPr>
        <w:rFonts w:ascii="Wingdings" w:hAnsi="Wingdings" w:hint="default"/>
      </w:rPr>
    </w:lvl>
    <w:lvl w:ilvl="6" w:tplc="04090001" w:tentative="1">
      <w:start w:val="1"/>
      <w:numFmt w:val="bullet"/>
      <w:lvlText w:val=""/>
      <w:lvlJc w:val="left"/>
      <w:pPr>
        <w:ind w:left="3113" w:hanging="440"/>
      </w:pPr>
      <w:rPr>
        <w:rFonts w:ascii="Wingdings" w:hAnsi="Wingdings" w:hint="default"/>
      </w:rPr>
    </w:lvl>
    <w:lvl w:ilvl="7" w:tplc="04090003" w:tentative="1">
      <w:start w:val="1"/>
      <w:numFmt w:val="bullet"/>
      <w:lvlText w:val=""/>
      <w:lvlJc w:val="left"/>
      <w:pPr>
        <w:ind w:left="3553" w:hanging="440"/>
      </w:pPr>
      <w:rPr>
        <w:rFonts w:ascii="Wingdings" w:hAnsi="Wingdings" w:hint="default"/>
      </w:rPr>
    </w:lvl>
    <w:lvl w:ilvl="8" w:tplc="04090005" w:tentative="1">
      <w:start w:val="1"/>
      <w:numFmt w:val="bullet"/>
      <w:lvlText w:val=""/>
      <w:lvlJc w:val="left"/>
      <w:pPr>
        <w:ind w:left="3993" w:hanging="440"/>
      </w:pPr>
      <w:rPr>
        <w:rFonts w:ascii="Wingdings" w:hAnsi="Wingdings" w:hint="default"/>
      </w:rPr>
    </w:lvl>
  </w:abstractNum>
  <w:num w:numId="1" w16cid:durableId="780761546">
    <w:abstractNumId w:val="8"/>
  </w:num>
  <w:num w:numId="2" w16cid:durableId="1436054589">
    <w:abstractNumId w:val="6"/>
  </w:num>
  <w:num w:numId="3" w16cid:durableId="2098745907">
    <w:abstractNumId w:val="5"/>
  </w:num>
  <w:num w:numId="4" w16cid:durableId="1995138928">
    <w:abstractNumId w:val="4"/>
  </w:num>
  <w:num w:numId="5" w16cid:durableId="899369202">
    <w:abstractNumId w:val="7"/>
  </w:num>
  <w:num w:numId="6" w16cid:durableId="1194536425">
    <w:abstractNumId w:val="3"/>
  </w:num>
  <w:num w:numId="7" w16cid:durableId="942035869">
    <w:abstractNumId w:val="2"/>
  </w:num>
  <w:num w:numId="8" w16cid:durableId="1935354050">
    <w:abstractNumId w:val="1"/>
  </w:num>
  <w:num w:numId="9" w16cid:durableId="79638873">
    <w:abstractNumId w:val="0"/>
  </w:num>
  <w:num w:numId="10" w16cid:durableId="1411731692">
    <w:abstractNumId w:val="10"/>
  </w:num>
  <w:num w:numId="11" w16cid:durableId="1141536374">
    <w:abstractNumId w:val="11"/>
  </w:num>
  <w:num w:numId="12" w16cid:durableId="1470635609">
    <w:abstractNumId w:val="12"/>
  </w:num>
  <w:num w:numId="13" w16cid:durableId="79575830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removePersonalInformation/>
  <w:removeDateAndTime/>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59E"/>
    <w:rsid w:val="0006063C"/>
    <w:rsid w:val="00090FCB"/>
    <w:rsid w:val="000B5B95"/>
    <w:rsid w:val="00117EF6"/>
    <w:rsid w:val="00124ABC"/>
    <w:rsid w:val="0015074B"/>
    <w:rsid w:val="00151455"/>
    <w:rsid w:val="0016552D"/>
    <w:rsid w:val="00171205"/>
    <w:rsid w:val="00185A19"/>
    <w:rsid w:val="001C4E2F"/>
    <w:rsid w:val="001E6C88"/>
    <w:rsid w:val="00215D41"/>
    <w:rsid w:val="0022444D"/>
    <w:rsid w:val="002374D8"/>
    <w:rsid w:val="0029639D"/>
    <w:rsid w:val="002D26D0"/>
    <w:rsid w:val="002D58CE"/>
    <w:rsid w:val="002F132A"/>
    <w:rsid w:val="0031080E"/>
    <w:rsid w:val="00326F90"/>
    <w:rsid w:val="00365058"/>
    <w:rsid w:val="003F4001"/>
    <w:rsid w:val="003F4F3D"/>
    <w:rsid w:val="004107E9"/>
    <w:rsid w:val="00427DBD"/>
    <w:rsid w:val="004B4E27"/>
    <w:rsid w:val="004F7429"/>
    <w:rsid w:val="00510525"/>
    <w:rsid w:val="0051576D"/>
    <w:rsid w:val="00537D4A"/>
    <w:rsid w:val="0056184E"/>
    <w:rsid w:val="00576A62"/>
    <w:rsid w:val="00586316"/>
    <w:rsid w:val="005B3087"/>
    <w:rsid w:val="005C1E3B"/>
    <w:rsid w:val="005C6220"/>
    <w:rsid w:val="005E2E92"/>
    <w:rsid w:val="006348DA"/>
    <w:rsid w:val="00635EB3"/>
    <w:rsid w:val="00652EC0"/>
    <w:rsid w:val="006604AB"/>
    <w:rsid w:val="00663BC9"/>
    <w:rsid w:val="006868F4"/>
    <w:rsid w:val="006D5FB2"/>
    <w:rsid w:val="006F0348"/>
    <w:rsid w:val="00701FA9"/>
    <w:rsid w:val="00717A20"/>
    <w:rsid w:val="007350BD"/>
    <w:rsid w:val="00791969"/>
    <w:rsid w:val="00791E18"/>
    <w:rsid w:val="007A29E5"/>
    <w:rsid w:val="007B4B54"/>
    <w:rsid w:val="007D683E"/>
    <w:rsid w:val="007F5176"/>
    <w:rsid w:val="008304A4"/>
    <w:rsid w:val="00843435"/>
    <w:rsid w:val="00892A7A"/>
    <w:rsid w:val="008E1CAD"/>
    <w:rsid w:val="008E6781"/>
    <w:rsid w:val="00907E93"/>
    <w:rsid w:val="00967CAC"/>
    <w:rsid w:val="00986B67"/>
    <w:rsid w:val="00994D50"/>
    <w:rsid w:val="00A01AE5"/>
    <w:rsid w:val="00A11215"/>
    <w:rsid w:val="00A96384"/>
    <w:rsid w:val="00A97DA4"/>
    <w:rsid w:val="00AA1D8D"/>
    <w:rsid w:val="00AA6134"/>
    <w:rsid w:val="00AA719D"/>
    <w:rsid w:val="00B47730"/>
    <w:rsid w:val="00B60925"/>
    <w:rsid w:val="00B768A1"/>
    <w:rsid w:val="00B77249"/>
    <w:rsid w:val="00B96963"/>
    <w:rsid w:val="00BB0AFF"/>
    <w:rsid w:val="00BC77CA"/>
    <w:rsid w:val="00BF2A2E"/>
    <w:rsid w:val="00BF2F5B"/>
    <w:rsid w:val="00C47532"/>
    <w:rsid w:val="00C517C5"/>
    <w:rsid w:val="00C72D59"/>
    <w:rsid w:val="00C85F09"/>
    <w:rsid w:val="00CB0664"/>
    <w:rsid w:val="00CD4950"/>
    <w:rsid w:val="00D021A0"/>
    <w:rsid w:val="00D67D76"/>
    <w:rsid w:val="00DA5009"/>
    <w:rsid w:val="00DB2FAD"/>
    <w:rsid w:val="00DE41FB"/>
    <w:rsid w:val="00DE551F"/>
    <w:rsid w:val="00E061E5"/>
    <w:rsid w:val="00E563A6"/>
    <w:rsid w:val="00E637F0"/>
    <w:rsid w:val="00E92400"/>
    <w:rsid w:val="00EB54DD"/>
    <w:rsid w:val="00ED6D37"/>
    <w:rsid w:val="00EE10DB"/>
    <w:rsid w:val="00EF37B4"/>
    <w:rsid w:val="00F03650"/>
    <w:rsid w:val="00F451BB"/>
    <w:rsid w:val="00F46860"/>
    <w:rsid w:val="00F631E1"/>
    <w:rsid w:val="00F713D9"/>
    <w:rsid w:val="00F727F5"/>
    <w:rsid w:val="00F80209"/>
    <w:rsid w:val="00F809B8"/>
    <w:rsid w:val="00F95EB1"/>
    <w:rsid w:val="00F97441"/>
    <w:rsid w:val="00FB7897"/>
    <w:rsid w:val="00FC1452"/>
    <w:rsid w:val="00FC693F"/>
    <w:rsid w:val="00FF0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E93C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27DBD"/>
    <w:pPr>
      <w:spacing w:after="0" w:line="240" w:lineRule="auto"/>
    </w:pPr>
    <w:rPr>
      <w:rFonts w:ascii="宋体" w:eastAsia="宋体" w:hAnsi="宋体" w:cs="宋体"/>
      <w:sz w:val="24"/>
      <w:szCs w:val="24"/>
      <w:lang w:eastAsia="zh-CN"/>
    </w:rPr>
  </w:style>
  <w:style w:type="paragraph" w:styleId="1">
    <w:name w:val="heading 1"/>
    <w:basedOn w:val="a1"/>
    <w:next w:val="a1"/>
    <w:link w:val="10"/>
    <w:uiPriority w:val="9"/>
    <w:qFormat/>
    <w:rsid w:val="00DB2FAD"/>
    <w:pPr>
      <w:keepNext/>
      <w:keepLines/>
      <w:spacing w:before="480"/>
      <w:outlineLvl w:val="0"/>
    </w:pPr>
    <w:rPr>
      <w:rFonts w:ascii="Times New Roman" w:eastAsiaTheme="majorEastAsia" w:hAnsi="Times New Roman" w:cs="Times New Roman"/>
      <w:b/>
      <w:bCs/>
      <w:color w:val="365F91" w:themeColor="accent1" w:themeShade="BF"/>
      <w:sz w:val="28"/>
      <w:szCs w:val="28"/>
    </w:rPr>
  </w:style>
  <w:style w:type="paragraph" w:styleId="21">
    <w:name w:val="heading 2"/>
    <w:basedOn w:val="a1"/>
    <w:next w:val="a1"/>
    <w:link w:val="22"/>
    <w:uiPriority w:val="9"/>
    <w:unhideWhenUsed/>
    <w:qFormat/>
    <w:rsid w:val="00DB2FAD"/>
    <w:pPr>
      <w:keepNext/>
      <w:spacing w:before="360" w:after="160"/>
      <w:outlineLvl w:val="1"/>
    </w:pPr>
    <w:rPr>
      <w:rFonts w:ascii="Times New Roman" w:eastAsia="Times New Roman" w:hAnsi="Times New Roman"/>
      <w:b/>
    </w:rPr>
  </w:style>
  <w:style w:type="paragraph" w:styleId="31">
    <w:name w:val="heading 3"/>
    <w:basedOn w:val="a1"/>
    <w:next w:val="a1"/>
    <w:link w:val="32"/>
    <w:uiPriority w:val="9"/>
    <w:unhideWhenUsed/>
    <w:qFormat/>
    <w:rsid w:val="00DB2FAD"/>
    <w:pPr>
      <w:keepNext/>
      <w:spacing w:before="240" w:after="120"/>
      <w:outlineLvl w:val="2"/>
    </w:pPr>
    <w:rPr>
      <w:rFonts w:ascii="Times New Roman" w:eastAsia="Times New Roman" w:hAnsi="Times New Roman"/>
      <w:b/>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DB2FAD"/>
    <w:rPr>
      <w:rFonts w:ascii="Times New Roman" w:eastAsiaTheme="majorEastAsia" w:hAnsi="Times New Roman" w:cs="Times New Roman"/>
      <w:b/>
      <w:bCs/>
      <w:color w:val="365F91" w:themeColor="accent1" w:themeShade="BF"/>
      <w:sz w:val="28"/>
      <w:szCs w:val="28"/>
    </w:rPr>
  </w:style>
  <w:style w:type="character" w:customStyle="1" w:styleId="22">
    <w:name w:val="标题 2 字符"/>
    <w:basedOn w:val="a2"/>
    <w:link w:val="21"/>
    <w:uiPriority w:val="9"/>
    <w:rsid w:val="00DB2FAD"/>
    <w:rPr>
      <w:rFonts w:ascii="Times New Roman" w:eastAsia="Times New Roman" w:hAnsi="Times New Roman"/>
      <w:b/>
      <w:sz w:val="24"/>
    </w:rPr>
  </w:style>
  <w:style w:type="character" w:customStyle="1" w:styleId="32">
    <w:name w:val="标题 3 字符"/>
    <w:basedOn w:val="a2"/>
    <w:link w:val="31"/>
    <w:uiPriority w:val="9"/>
    <w:rsid w:val="00DB2FAD"/>
    <w:rPr>
      <w:rFonts w:ascii="Times New Roman" w:eastAsia="Times New Roman" w:hAnsi="Times New Roman"/>
      <w:b/>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Centered">
    <w:name w:val="Equation Centered"/>
    <w:rsid w:val="00124ABC"/>
    <w:pPr>
      <w:spacing w:before="120" w:after="120"/>
      <w:jc w:val="center"/>
    </w:pPr>
    <w:rPr>
      <w:rFonts w:ascii="Cambria Math" w:eastAsia="Cambria Math" w:hAnsi="Cambria Math"/>
      <w:sz w:val="24"/>
    </w:rPr>
  </w:style>
  <w:style w:type="paragraph" w:styleId="aff9">
    <w:name w:val="Normal (Web)"/>
    <w:basedOn w:val="a1"/>
    <w:uiPriority w:val="99"/>
    <w:unhideWhenUsed/>
    <w:rsid w:val="00717A20"/>
    <w:pPr>
      <w:spacing w:before="100" w:beforeAutospacing="1" w:after="100" w:afterAutospacing="1"/>
    </w:pPr>
  </w:style>
  <w:style w:type="character" w:styleId="HTML">
    <w:name w:val="HTML Code"/>
    <w:basedOn w:val="a2"/>
    <w:uiPriority w:val="99"/>
    <w:semiHidden/>
    <w:unhideWhenUsed/>
    <w:rsid w:val="00717A20"/>
    <w:rPr>
      <w:rFonts w:ascii="宋体" w:eastAsia="宋体" w:hAnsi="宋体" w:cs="宋体"/>
      <w:sz w:val="24"/>
      <w:szCs w:val="24"/>
    </w:rPr>
  </w:style>
  <w:style w:type="paragraph" w:customStyle="1" w:styleId="p1">
    <w:name w:val="p1"/>
    <w:basedOn w:val="a1"/>
    <w:rsid w:val="00DE41FB"/>
    <w:pPr>
      <w:spacing w:before="100" w:beforeAutospacing="1" w:after="100" w:afterAutospacing="1"/>
    </w:pPr>
  </w:style>
  <w:style w:type="paragraph" w:styleId="affa">
    <w:name w:val="Revision"/>
    <w:hidden/>
    <w:uiPriority w:val="99"/>
    <w:semiHidden/>
    <w:rsid w:val="00BB0AFF"/>
    <w:pPr>
      <w:spacing w:after="0" w:line="240" w:lineRule="auto"/>
    </w:pPr>
  </w:style>
  <w:style w:type="character" w:styleId="affb">
    <w:name w:val="page number"/>
    <w:basedOn w:val="a2"/>
    <w:uiPriority w:val="99"/>
    <w:semiHidden/>
    <w:unhideWhenUsed/>
    <w:rsid w:val="00FB7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DAB46CB42E974B8B343136A9C5AD12" ma:contentTypeVersion="15" ma:contentTypeDescription="Create a new document." ma:contentTypeScope="" ma:versionID="66ebf5f561be30d34b7a92e70ad66057">
  <xsd:schema xmlns:xsd="http://www.w3.org/2001/XMLSchema" xmlns:xs="http://www.w3.org/2001/XMLSchema" xmlns:p="http://schemas.microsoft.com/office/2006/metadata/properties" xmlns:ns2="34ef6fd2-5125-4c23-b935-9d16404da0a5" xmlns:ns3="8c3c43cf-186b-4613-84b4-a4ff23217b56" targetNamespace="http://schemas.microsoft.com/office/2006/metadata/properties" ma:root="true" ma:fieldsID="559148f9941e44eed5ab2a676c7f46b9" ns2:_="" ns3:_="">
    <xsd:import namespace="34ef6fd2-5125-4c23-b935-9d16404da0a5"/>
    <xsd:import namespace="8c3c43cf-186b-4613-84b4-a4ff23217b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6fd2-5125-4c23-b935-9d16404da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cbd03e-66a2-4c18-a228-0d90db8483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c43cf-186b-4613-84b4-a4ff23217b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12e874-be26-499a-b36a-3e9c3c72934e}" ma:internalName="TaxCatchAll" ma:showField="CatchAllData" ma:web="8c3c43cf-186b-4613-84b4-a4ff23217b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ef6fd2-5125-4c23-b935-9d16404da0a5">
      <Terms xmlns="http://schemas.microsoft.com/office/infopath/2007/PartnerControls"/>
    </lcf76f155ced4ddcb4097134ff3c332f>
    <TaxCatchAll xmlns="8c3c43cf-186b-4613-84b4-a4ff23217b56"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FD7745C-3700-4864-A7BC-086DC98AAC3A}"/>
</file>

<file path=customXml/itemProps3.xml><?xml version="1.0" encoding="utf-8"?>
<ds:datastoreItem xmlns:ds="http://schemas.openxmlformats.org/officeDocument/2006/customXml" ds:itemID="{33F6D6BF-5DFE-4605-BA09-CF356838FE53}"/>
</file>

<file path=customXml/itemProps4.xml><?xml version="1.0" encoding="utf-8"?>
<ds:datastoreItem xmlns:ds="http://schemas.openxmlformats.org/officeDocument/2006/customXml" ds:itemID="{12BC57E2-F5F5-44DB-A78D-5DF2FC584FB8}"/>
</file>

<file path=docProps/app.xml><?xml version="1.0" encoding="utf-8"?>
<Properties xmlns="http://schemas.openxmlformats.org/officeDocument/2006/extended-properties" xmlns:vt="http://schemas.openxmlformats.org/officeDocument/2006/docPropsVTypes">
  <Template>Normal.dotm</Template>
  <TotalTime>0</TotalTime>
  <Pages>24</Pages>
  <Words>9520</Words>
  <Characters>54269</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2</cp:revision>
  <dcterms:created xsi:type="dcterms:W3CDTF">2026-08-07T04:27:00Z</dcterms:created>
  <dcterms:modified xsi:type="dcterms:W3CDTF">2026-08-14T06:34:00Z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0x010100FBDAB46CB42E974B8B343136A9C5AD12</vt:lpwstr>
  </property>
</Properties>
</file>